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1C9" w:rsidRPr="002941C9" w:rsidRDefault="002941C9" w:rsidP="002941C9">
      <w:pPr>
        <w:pStyle w:val="afb"/>
        <w:spacing w:before="0" w:after="0" w:line="360" w:lineRule="auto"/>
        <w:rPr>
          <w:rFonts w:ascii="Arial" w:hAnsi="Arial" w:cs="Arial"/>
        </w:rPr>
      </w:pPr>
      <w:bookmarkStart w:id="0" w:name="Title"/>
      <w:bookmarkEnd w:id="0"/>
      <w:r w:rsidRPr="002941C9">
        <w:rPr>
          <w:rFonts w:ascii="Arial" w:hAnsi="Arial" w:cs="Arial"/>
        </w:rPr>
        <w:t>3GPP TSG-RAN WG4 Meeting # 108bis                                                          R4-23</w:t>
      </w:r>
      <w:r w:rsidR="00AE4C4C">
        <w:rPr>
          <w:rFonts w:ascii="Arial" w:hAnsi="Arial" w:cs="Arial"/>
        </w:rPr>
        <w:t>15099</w:t>
      </w:r>
    </w:p>
    <w:p w:rsidR="002941C9" w:rsidRPr="002941C9" w:rsidRDefault="002941C9" w:rsidP="002941C9">
      <w:pPr>
        <w:pStyle w:val="afb"/>
        <w:spacing w:before="0" w:after="0" w:line="360" w:lineRule="auto"/>
        <w:rPr>
          <w:rFonts w:ascii="Arial" w:hAnsi="Arial" w:cs="Arial"/>
        </w:rPr>
      </w:pPr>
      <w:r w:rsidRPr="002941C9">
        <w:rPr>
          <w:rFonts w:ascii="Arial" w:hAnsi="Arial" w:cs="Arial"/>
        </w:rPr>
        <w:t>Xiamen, China, October 09 – October 13, 2023</w:t>
      </w:r>
    </w:p>
    <w:p w:rsidR="001D260B" w:rsidRDefault="001D260B" w:rsidP="00A63EF1">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83FBE" w:rsidRPr="00983FBE">
        <w:rPr>
          <w:rFonts w:ascii="Arial" w:hAnsi="Arial" w:cs="Arial"/>
          <w:b w:val="0"/>
          <w:color w:val="000000" w:themeColor="text1"/>
        </w:rPr>
        <w:t>Discussion on how to handle BS RF requirements for NES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AE4C4C"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2941C9">
        <w:rPr>
          <w:rFonts w:ascii="Arial" w:hAnsi="Arial" w:cs="Arial"/>
          <w:b w:val="0"/>
        </w:rPr>
        <w:t>5.34.1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0F0181" w:rsidP="004C4C7A">
      <w:pPr>
        <w:spacing w:before="0" w:after="120"/>
        <w:jc w:val="left"/>
        <w:rPr>
          <w:color w:val="000000" w:themeColor="text1"/>
          <w:sz w:val="20"/>
          <w:lang w:val="en-US"/>
        </w:rPr>
      </w:pPr>
      <w:r>
        <w:rPr>
          <w:color w:val="000000" w:themeColor="text1"/>
          <w:sz w:val="20"/>
          <w:lang w:val="en-US"/>
        </w:rPr>
        <w:t>There</w:t>
      </w:r>
      <w:r w:rsidR="008D4962">
        <w:rPr>
          <w:color w:val="000000" w:themeColor="text1"/>
          <w:sz w:val="20"/>
          <w:lang w:val="en-US"/>
        </w:rPr>
        <w:t>’s</w:t>
      </w:r>
      <w:r>
        <w:rPr>
          <w:color w:val="000000" w:themeColor="text1"/>
          <w:sz w:val="20"/>
          <w:lang w:val="en-US"/>
        </w:rPr>
        <w:t xml:space="preserve"> still no agreement on the BS RF TAE requirement in last RAN4 meeting. There’re two options which are defining or not defining the requirements. This contribution provides our further consideration.</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0F0181" w:rsidRDefault="000F0181" w:rsidP="00BB7ABC">
      <w:pPr>
        <w:rPr>
          <w:lang w:val="en-US"/>
        </w:rPr>
      </w:pPr>
      <w:r>
        <w:rPr>
          <w:lang w:val="en-US"/>
        </w:rPr>
        <w:t xml:space="preserve">The followings are the </w:t>
      </w:r>
      <w:r w:rsidR="00ED07B8">
        <w:rPr>
          <w:lang w:val="en-US"/>
        </w:rPr>
        <w:t>status of BS RF TAE discussion in last RAN4 meeting,</w:t>
      </w:r>
    </w:p>
    <w:p w:rsidR="000F0181" w:rsidRDefault="000F0181" w:rsidP="00BB7ABC">
      <w:pPr>
        <w:rPr>
          <w:lang w:val="en-US"/>
        </w:rPr>
      </w:pPr>
      <w:r>
        <w:rPr>
          <w:lang w:val="en-US"/>
        </w:rPr>
        <w:t>-------------------------------------------------</w:t>
      </w:r>
    </w:p>
    <w:p w:rsidR="000F0181" w:rsidRDefault="000F0181" w:rsidP="000F0181">
      <w:pPr>
        <w:rPr>
          <w:rFonts w:ascii="Arial" w:hAnsi="Arial" w:cs="Arial"/>
          <w:bCs/>
          <w:sz w:val="24"/>
          <w:szCs w:val="24"/>
          <w:u w:val="single"/>
          <w:lang w:eastAsia="ko-KR"/>
        </w:rPr>
      </w:pPr>
      <w:r>
        <w:rPr>
          <w:rFonts w:ascii="Arial" w:hAnsi="Arial" w:cs="Arial"/>
          <w:bCs/>
          <w:sz w:val="24"/>
          <w:szCs w:val="24"/>
          <w:u w:val="single"/>
          <w:lang w:eastAsia="ko-KR"/>
        </w:rPr>
        <w:t>Issue 1-1: TAE</w:t>
      </w:r>
    </w:p>
    <w:p w:rsidR="000F0181" w:rsidRDefault="000F0181" w:rsidP="000F0181">
      <w:pPr>
        <w:tabs>
          <w:tab w:val="left" w:pos="1701"/>
        </w:tabs>
        <w:spacing w:after="120"/>
        <w:rPr>
          <w:rFonts w:eastAsiaTheme="minorEastAsia"/>
          <w:bCs/>
          <w:sz w:val="20"/>
          <w:szCs w:val="20"/>
          <w:lang w:eastAsia="en-US"/>
        </w:rPr>
      </w:pPr>
      <w:r>
        <w:rPr>
          <w:rFonts w:eastAsiaTheme="minorEastAsia"/>
          <w:bCs/>
        </w:rPr>
        <w:t xml:space="preserve">Agreement: </w:t>
      </w:r>
    </w:p>
    <w:p w:rsidR="000F0181" w:rsidRDefault="000F0181" w:rsidP="000F0181">
      <w:pPr>
        <w:pStyle w:val="afa"/>
        <w:widowControl/>
        <w:numPr>
          <w:ilvl w:val="0"/>
          <w:numId w:val="22"/>
        </w:numPr>
        <w:tabs>
          <w:tab w:val="left" w:pos="1701"/>
        </w:tabs>
        <w:overflowPunct w:val="0"/>
        <w:autoSpaceDE w:val="0"/>
        <w:autoSpaceDN w:val="0"/>
        <w:adjustRightInd w:val="0"/>
        <w:spacing w:before="0" w:after="120" w:line="256" w:lineRule="auto"/>
        <w:ind w:left="360" w:firstLineChars="0"/>
        <w:rPr>
          <w:rFonts w:eastAsiaTheme="minorEastAsia"/>
          <w:bCs/>
        </w:rPr>
      </w:pPr>
      <w:r>
        <w:rPr>
          <w:rFonts w:eastAsiaTheme="minorEastAsia"/>
          <w:bCs/>
        </w:rPr>
        <w:t>Alternative #1:</w:t>
      </w:r>
    </w:p>
    <w:p w:rsidR="000F0181" w:rsidRDefault="000F0181" w:rsidP="000F0181">
      <w:pPr>
        <w:pStyle w:val="afa"/>
        <w:widowControl/>
        <w:numPr>
          <w:ilvl w:val="1"/>
          <w:numId w:val="22"/>
        </w:numPr>
        <w:tabs>
          <w:tab w:val="left" w:pos="1701"/>
        </w:tabs>
        <w:overflowPunct w:val="0"/>
        <w:autoSpaceDE w:val="0"/>
        <w:autoSpaceDN w:val="0"/>
        <w:adjustRightInd w:val="0"/>
        <w:spacing w:before="0" w:after="120" w:line="256" w:lineRule="auto"/>
        <w:ind w:left="1080" w:firstLineChars="0"/>
        <w:rPr>
          <w:rFonts w:eastAsiaTheme="minorEastAsia"/>
          <w:bCs/>
        </w:rPr>
      </w:pPr>
      <w:r>
        <w:rPr>
          <w:rFonts w:eastAsiaTheme="minorEastAsia"/>
          <w:bCs/>
        </w:rPr>
        <w:t xml:space="preserve">Do not specify the BS TAE requirements of SSB-less operation for FR1 co-located inter-band CA </w:t>
      </w:r>
    </w:p>
    <w:p w:rsidR="000F0181" w:rsidRDefault="000F0181" w:rsidP="000F0181">
      <w:pPr>
        <w:pStyle w:val="afa"/>
        <w:widowControl/>
        <w:numPr>
          <w:ilvl w:val="1"/>
          <w:numId w:val="22"/>
        </w:numPr>
        <w:tabs>
          <w:tab w:val="left" w:pos="1701"/>
        </w:tabs>
        <w:overflowPunct w:val="0"/>
        <w:autoSpaceDE w:val="0"/>
        <w:autoSpaceDN w:val="0"/>
        <w:adjustRightInd w:val="0"/>
        <w:spacing w:before="0" w:after="120" w:line="256" w:lineRule="auto"/>
        <w:ind w:left="1080" w:firstLineChars="0"/>
        <w:rPr>
          <w:rFonts w:eastAsiaTheme="minorEastAsia"/>
          <w:bCs/>
        </w:rPr>
      </w:pPr>
      <w:r>
        <w:rPr>
          <w:rFonts w:eastAsiaTheme="minorEastAsia"/>
          <w:bCs/>
        </w:rPr>
        <w:t>Define the side condition of RTD to ensure UE performance in RRM part.</w:t>
      </w:r>
    </w:p>
    <w:p w:rsidR="000F0181" w:rsidRDefault="000F0181" w:rsidP="000F0181">
      <w:pPr>
        <w:pStyle w:val="afa"/>
        <w:widowControl/>
        <w:numPr>
          <w:ilvl w:val="0"/>
          <w:numId w:val="22"/>
        </w:numPr>
        <w:tabs>
          <w:tab w:val="left" w:pos="1701"/>
        </w:tabs>
        <w:overflowPunct w:val="0"/>
        <w:autoSpaceDE w:val="0"/>
        <w:autoSpaceDN w:val="0"/>
        <w:adjustRightInd w:val="0"/>
        <w:spacing w:before="0" w:after="120" w:line="256" w:lineRule="auto"/>
        <w:ind w:left="360" w:firstLineChars="0"/>
        <w:rPr>
          <w:rFonts w:eastAsiaTheme="minorEastAsia"/>
          <w:bCs/>
        </w:rPr>
      </w:pPr>
      <w:r>
        <w:rPr>
          <w:rFonts w:eastAsiaTheme="minorEastAsia"/>
          <w:bCs/>
        </w:rPr>
        <w:t>Alternative #2:</w:t>
      </w:r>
    </w:p>
    <w:p w:rsidR="000F0181" w:rsidRDefault="000F0181" w:rsidP="000F0181">
      <w:pPr>
        <w:pStyle w:val="afa"/>
        <w:widowControl/>
        <w:numPr>
          <w:ilvl w:val="1"/>
          <w:numId w:val="22"/>
        </w:numPr>
        <w:tabs>
          <w:tab w:val="left" w:pos="1701"/>
        </w:tabs>
        <w:overflowPunct w:val="0"/>
        <w:autoSpaceDE w:val="0"/>
        <w:autoSpaceDN w:val="0"/>
        <w:adjustRightInd w:val="0"/>
        <w:spacing w:before="0" w:after="120" w:line="256" w:lineRule="auto"/>
        <w:ind w:left="1080" w:firstLineChars="0"/>
        <w:rPr>
          <w:rFonts w:eastAsiaTheme="minorEastAsia"/>
          <w:bCs/>
        </w:rPr>
      </w:pPr>
      <w:r>
        <w:rPr>
          <w:rFonts w:eastAsiaTheme="minorEastAsia"/>
          <w:bCs/>
        </w:rPr>
        <w:t>Specify BS TAE requirements</w:t>
      </w:r>
    </w:p>
    <w:p w:rsidR="000F0181" w:rsidRDefault="000F0181" w:rsidP="000F0181">
      <w:pPr>
        <w:pStyle w:val="afa"/>
        <w:widowControl/>
        <w:numPr>
          <w:ilvl w:val="2"/>
          <w:numId w:val="22"/>
        </w:numPr>
        <w:tabs>
          <w:tab w:val="left" w:pos="1701"/>
        </w:tabs>
        <w:overflowPunct w:val="0"/>
        <w:autoSpaceDE w:val="0"/>
        <w:autoSpaceDN w:val="0"/>
        <w:adjustRightInd w:val="0"/>
        <w:spacing w:before="0" w:after="120" w:line="256" w:lineRule="auto"/>
        <w:ind w:left="1800" w:firstLineChars="0"/>
        <w:rPr>
          <w:rFonts w:eastAsiaTheme="minorEastAsia"/>
          <w:bCs/>
        </w:rPr>
      </w:pPr>
      <w:r>
        <w:rPr>
          <w:rFonts w:eastAsiaTheme="minorEastAsia"/>
          <w:bCs/>
        </w:rPr>
        <w:t>FFS on values</w:t>
      </w:r>
    </w:p>
    <w:p w:rsidR="000F0181" w:rsidRDefault="000F0181" w:rsidP="00BB7ABC">
      <w:pPr>
        <w:rPr>
          <w:lang w:val="en-US"/>
        </w:rPr>
      </w:pPr>
      <w:r>
        <w:rPr>
          <w:lang w:val="en-US"/>
        </w:rPr>
        <w:t>-------------------------------------------------</w:t>
      </w:r>
    </w:p>
    <w:p w:rsidR="000F0181" w:rsidRDefault="00ED07B8" w:rsidP="00BB7ABC">
      <w:pPr>
        <w:rPr>
          <w:lang w:val="en-US"/>
        </w:rPr>
      </w:pPr>
      <w:r>
        <w:rPr>
          <w:lang w:val="en-US"/>
        </w:rPr>
        <w:t xml:space="preserve">For the two alternatives, we support alternative 1 then left the BS TAE performance to the implementation. </w:t>
      </w:r>
    </w:p>
    <w:p w:rsidR="00503E0F" w:rsidRPr="00503E0F" w:rsidRDefault="00503E0F" w:rsidP="00BB7ABC">
      <w:pPr>
        <w:rPr>
          <w:b/>
          <w:lang w:val="en-US"/>
        </w:rPr>
      </w:pPr>
      <w:r w:rsidRPr="00503E0F">
        <w:rPr>
          <w:b/>
          <w:lang w:val="en-US"/>
        </w:rPr>
        <w:t>Proposal 1: The following option is approved for the BS RF NES discussion.</w:t>
      </w:r>
    </w:p>
    <w:p w:rsidR="00503E0F" w:rsidRPr="00503E0F" w:rsidRDefault="00503E0F" w:rsidP="00503E0F">
      <w:pPr>
        <w:pStyle w:val="afa"/>
        <w:widowControl/>
        <w:numPr>
          <w:ilvl w:val="0"/>
          <w:numId w:val="22"/>
        </w:numPr>
        <w:tabs>
          <w:tab w:val="left" w:pos="1701"/>
        </w:tabs>
        <w:overflowPunct w:val="0"/>
        <w:autoSpaceDE w:val="0"/>
        <w:autoSpaceDN w:val="0"/>
        <w:adjustRightInd w:val="0"/>
        <w:spacing w:before="0" w:after="120" w:line="256" w:lineRule="auto"/>
        <w:ind w:left="360" w:firstLineChars="0"/>
        <w:rPr>
          <w:rFonts w:eastAsiaTheme="minorEastAsia"/>
          <w:b/>
          <w:bCs/>
        </w:rPr>
      </w:pPr>
      <w:r w:rsidRPr="00503E0F">
        <w:rPr>
          <w:rFonts w:eastAsiaTheme="minorEastAsia"/>
          <w:b/>
          <w:bCs/>
        </w:rPr>
        <w:t>Alternative #1:</w:t>
      </w:r>
    </w:p>
    <w:p w:rsidR="00503E0F" w:rsidRPr="00503E0F" w:rsidRDefault="00503E0F" w:rsidP="00503E0F">
      <w:pPr>
        <w:pStyle w:val="afa"/>
        <w:widowControl/>
        <w:numPr>
          <w:ilvl w:val="1"/>
          <w:numId w:val="22"/>
        </w:numPr>
        <w:tabs>
          <w:tab w:val="left" w:pos="1701"/>
        </w:tabs>
        <w:overflowPunct w:val="0"/>
        <w:autoSpaceDE w:val="0"/>
        <w:autoSpaceDN w:val="0"/>
        <w:adjustRightInd w:val="0"/>
        <w:spacing w:before="0" w:after="120" w:line="256" w:lineRule="auto"/>
        <w:ind w:left="1080" w:firstLineChars="0"/>
        <w:rPr>
          <w:rFonts w:eastAsiaTheme="minorEastAsia"/>
          <w:b/>
          <w:bCs/>
        </w:rPr>
      </w:pPr>
      <w:r w:rsidRPr="00503E0F">
        <w:rPr>
          <w:rFonts w:eastAsiaTheme="minorEastAsia"/>
          <w:b/>
          <w:bCs/>
        </w:rPr>
        <w:t xml:space="preserve">Do not specify the BS TAE requirements of SSB-less operation for FR1 co-located inter-band CA </w:t>
      </w:r>
    </w:p>
    <w:p w:rsidR="00503E0F" w:rsidRPr="00503E0F" w:rsidRDefault="00503E0F" w:rsidP="00503E0F">
      <w:pPr>
        <w:pStyle w:val="afa"/>
        <w:widowControl/>
        <w:numPr>
          <w:ilvl w:val="1"/>
          <w:numId w:val="22"/>
        </w:numPr>
        <w:tabs>
          <w:tab w:val="left" w:pos="1701"/>
        </w:tabs>
        <w:overflowPunct w:val="0"/>
        <w:autoSpaceDE w:val="0"/>
        <w:autoSpaceDN w:val="0"/>
        <w:adjustRightInd w:val="0"/>
        <w:spacing w:before="0" w:after="120" w:line="256" w:lineRule="auto"/>
        <w:ind w:left="1080" w:firstLineChars="0"/>
        <w:rPr>
          <w:rFonts w:eastAsiaTheme="minorEastAsia"/>
          <w:b/>
          <w:bCs/>
        </w:rPr>
      </w:pPr>
      <w:r w:rsidRPr="00503E0F">
        <w:rPr>
          <w:rFonts w:eastAsiaTheme="minorEastAsia"/>
          <w:b/>
          <w:bCs/>
        </w:rPr>
        <w:t>Define the side condition of RTD to ensure UE performance in RRM part.</w:t>
      </w:r>
    </w:p>
    <w:p w:rsidR="00503E0F" w:rsidRPr="00503E0F" w:rsidRDefault="00503E0F" w:rsidP="00BB7ABC"/>
    <w:p w:rsidR="00396192" w:rsidRDefault="00503E0F" w:rsidP="00BB7ABC">
      <w:pPr>
        <w:rPr>
          <w:lang w:val="en-US"/>
        </w:rPr>
      </w:pPr>
      <w:r>
        <w:rPr>
          <w:lang w:val="en-US"/>
        </w:rPr>
        <w:t xml:space="preserve">For the side condition of RTD, some analysis is needed. </w:t>
      </w:r>
      <w:r w:rsidR="0075068B">
        <w:rPr>
          <w:lang w:val="en-US"/>
        </w:rPr>
        <w:t xml:space="preserve">In the BS implementation, windowing is used in the Tx path digital operation to solve the out of band emission issue. So in the time domain, there’re some distortions for each OFDM </w:t>
      </w:r>
      <w:r w:rsidR="00222D5D">
        <w:rPr>
          <w:lang w:val="en-US"/>
        </w:rPr>
        <w:t>symbol as shown in Figure 1. I</w:t>
      </w:r>
      <w:r w:rsidR="0075068B">
        <w:rPr>
          <w:lang w:val="en-US"/>
        </w:rPr>
        <w:t>n the specification</w:t>
      </w:r>
      <w:r w:rsidR="00222D5D">
        <w:rPr>
          <w:lang w:val="en-US"/>
        </w:rPr>
        <w:t xml:space="preserve"> TS 38.104 and TS 38.101, the following</w:t>
      </w:r>
      <w:r>
        <w:rPr>
          <w:lang w:val="en-US"/>
        </w:rPr>
        <w:t>s</w:t>
      </w:r>
      <w:r w:rsidR="00222D5D">
        <w:rPr>
          <w:lang w:val="en-US"/>
        </w:rPr>
        <w:t xml:space="preserve"> descri</w:t>
      </w:r>
      <w:r>
        <w:rPr>
          <w:lang w:val="en-US"/>
        </w:rPr>
        <w:t xml:space="preserve">be how to measure </w:t>
      </w:r>
      <w:r w:rsidR="00222D5D">
        <w:rPr>
          <w:lang w:val="en-US"/>
        </w:rPr>
        <w:t>EVM,</w:t>
      </w:r>
    </w:p>
    <w:p w:rsidR="0075068B" w:rsidRPr="00222D5D" w:rsidRDefault="0075068B" w:rsidP="0075068B">
      <w:pPr>
        <w:pStyle w:val="B10"/>
        <w:rPr>
          <w:i/>
        </w:rPr>
      </w:pPr>
      <w:r w:rsidRPr="00222D5D">
        <w:rPr>
          <w:i/>
          <w:iCs/>
          <w:lang w:eastAsia="ko-KR"/>
        </w:rPr>
        <w:t>-</w:t>
      </w:r>
      <w:r w:rsidRPr="00222D5D">
        <w:rPr>
          <w:i/>
          <w:iCs/>
          <w:lang w:eastAsia="ko-KR"/>
        </w:rPr>
        <w:tab/>
      </w:r>
      <w:r w:rsidRPr="00222D5D">
        <w:rPr>
          <w:i/>
        </w:rPr>
        <w:t xml:space="preserve">The </w:t>
      </w:r>
      <m:oMath>
        <m:sSub>
          <m:sSubPr>
            <m:ctrlPr>
              <w:rPr>
                <w:rFonts w:ascii="Cambria Math" w:eastAsia="×–¾’©‘Ì" w:hAnsi="Cambria Math"/>
                <w:i/>
                <w:lang w:eastAsia="en-US"/>
              </w:rPr>
            </m:ctrlPr>
          </m:sSubPr>
          <m:e>
            <m:r>
              <w:rPr>
                <w:rFonts w:ascii="Cambria Math" w:eastAsia="×–¾’©‘Ì" w:hAnsi="Cambria Math"/>
              </w:rPr>
              <m:t>EVM</m:t>
            </m:r>
          </m:e>
          <m:sub>
            <m:r>
              <w:rPr>
                <w:rFonts w:ascii="Cambria Math" w:eastAsia="×–¾’©‘Ì" w:hAnsi="Cambria Math"/>
              </w:rPr>
              <m:t>frame</m:t>
            </m:r>
          </m:sub>
        </m:sSub>
      </m:oMath>
      <w:r w:rsidRPr="00222D5D">
        <w:rPr>
          <w:i/>
        </w:rPr>
        <w:t xml:space="preserve"> is calculated, using the maximum of </w:t>
      </w:r>
      <m:oMath>
        <m:sSub>
          <m:sSubPr>
            <m:ctrlPr>
              <w:rPr>
                <w:rFonts w:ascii="Cambria Math" w:eastAsia="×–¾’©‘Ì" w:hAnsi="Cambria Math"/>
                <w:i/>
                <w:lang w:eastAsia="en-US"/>
              </w:rPr>
            </m:ctrlPr>
          </m:sSubPr>
          <m:e>
            <m:acc>
              <m:accPr>
                <m:chr m:val="̅"/>
                <m:ctrlPr>
                  <w:rPr>
                    <w:rFonts w:ascii="Cambria Math" w:eastAsia="×–¾’©‘Ì" w:hAnsi="Cambria Math"/>
                    <w:i/>
                    <w:lang w:eastAsia="en-US"/>
                  </w:rPr>
                </m:ctrlPr>
              </m:accPr>
              <m:e>
                <m:r>
                  <w:rPr>
                    <w:rFonts w:ascii="Cambria Math" w:eastAsia="×–¾’©‘Ì" w:hAnsi="Cambria Math"/>
                  </w:rPr>
                  <m:t>EVM</m:t>
                </m:r>
              </m:e>
            </m:acc>
          </m:e>
          <m:sub>
            <m:r>
              <w:rPr>
                <w:rFonts w:ascii="Cambria Math" w:eastAsia="×–¾’©‘Ì" w:hAnsi="Cambria Math"/>
              </w:rPr>
              <m:t>frame</m:t>
            </m:r>
          </m:sub>
        </m:sSub>
      </m:oMath>
      <w:r w:rsidRPr="00222D5D">
        <w:rPr>
          <w:i/>
        </w:rPr>
        <w:t xml:space="preserve"> at the window W extremities. Thus </w:t>
      </w:r>
      <m:oMath>
        <m:sSub>
          <m:sSubPr>
            <m:ctrlPr>
              <w:rPr>
                <w:rFonts w:ascii="Cambria Math" w:eastAsia="×–¾’©‘Ì" w:hAnsi="Cambria Math"/>
                <w:i/>
                <w:lang w:eastAsia="en-US"/>
              </w:rPr>
            </m:ctrlPr>
          </m:sSubPr>
          <m:e>
            <m:acc>
              <m:accPr>
                <m:chr m:val="̅"/>
                <m:ctrlPr>
                  <w:rPr>
                    <w:rFonts w:ascii="Cambria Math" w:eastAsia="×–¾’©‘Ì" w:hAnsi="Cambria Math"/>
                    <w:i/>
                    <w:lang w:eastAsia="en-US"/>
                  </w:rPr>
                </m:ctrlPr>
              </m:accPr>
              <m:e>
                <m:r>
                  <w:rPr>
                    <w:rFonts w:ascii="Cambria Math" w:eastAsia="×–¾’©‘Ì" w:hAnsi="Cambria Math"/>
                  </w:rPr>
                  <m:t>EVM</m:t>
                </m:r>
              </m:e>
            </m:acc>
          </m:e>
          <m:sub>
            <m:r>
              <w:rPr>
                <w:rFonts w:ascii="Cambria Math" w:eastAsia="×–¾’©‘Ì" w:hAnsi="Cambria Math"/>
              </w:rPr>
              <m:t>frame,l</m:t>
            </m:r>
          </m:sub>
        </m:sSub>
      </m:oMath>
      <w:r w:rsidRPr="00222D5D">
        <w:rPr>
          <w:i/>
        </w:rPr>
        <w:t xml:space="preserve"> is calculated using </w:t>
      </w:r>
      <m:oMath>
        <m:acc>
          <m:accPr>
            <m:chr m:val="̃"/>
            <m:ctrlPr>
              <w:rPr>
                <w:rFonts w:ascii="Cambria Math" w:eastAsiaTheme="minorEastAsia" w:hAnsi="Cambria Math"/>
                <w:i/>
                <w:lang w:eastAsia="en-US"/>
              </w:rPr>
            </m:ctrlPr>
          </m:accPr>
          <m:e>
            <m:r>
              <w:rPr>
                <w:rFonts w:ascii="Cambria Math" w:hAnsi="Cambria Math"/>
              </w:rPr>
              <m:t>t</m:t>
            </m:r>
          </m:e>
        </m:acc>
        <m:r>
          <w:rPr>
            <w:rFonts w:ascii="Cambria Math" w:hAnsi="Cambria Math"/>
          </w:rPr>
          <m:t>=∆</m:t>
        </m:r>
        <m:sSub>
          <m:sSubPr>
            <m:ctrlPr>
              <w:rPr>
                <w:rFonts w:ascii="Cambria Math" w:eastAsiaTheme="minorEastAsia" w:hAnsi="Cambria Math"/>
                <w:i/>
                <w:lang w:eastAsia="en-US"/>
              </w:rPr>
            </m:ctrlPr>
          </m:sSubPr>
          <m:e>
            <m:acc>
              <m:accPr>
                <m:chr m:val="̃"/>
                <m:ctrlPr>
                  <w:rPr>
                    <w:rFonts w:ascii="Cambria Math" w:eastAsiaTheme="minorEastAsia" w:hAnsi="Cambria Math"/>
                    <w:i/>
                    <w:lang w:eastAsia="en-US"/>
                  </w:rPr>
                </m:ctrlPr>
              </m:accPr>
              <m:e>
                <m:r>
                  <w:rPr>
                    <w:rFonts w:ascii="Cambria Math" w:hAnsi="Cambria Math"/>
                  </w:rPr>
                  <m:t>t</m:t>
                </m:r>
              </m:e>
            </m:acc>
          </m:e>
          <m:sub>
            <m:r>
              <w:rPr>
                <w:rFonts w:ascii="Cambria Math" w:hAnsi="Cambria Math"/>
              </w:rPr>
              <m:t>l</m:t>
            </m:r>
          </m:sub>
        </m:sSub>
      </m:oMath>
      <w:r w:rsidRPr="00222D5D">
        <w:rPr>
          <w:i/>
        </w:rPr>
        <w:t xml:space="preserve"> and </w:t>
      </w:r>
      <m:oMath>
        <m:sSub>
          <m:sSubPr>
            <m:ctrlPr>
              <w:rPr>
                <w:rFonts w:ascii="Cambria Math" w:eastAsia="×–¾’©‘Ì" w:hAnsi="Cambria Math"/>
                <w:i/>
                <w:lang w:eastAsia="en-US"/>
              </w:rPr>
            </m:ctrlPr>
          </m:sSubPr>
          <m:e>
            <m:acc>
              <m:accPr>
                <m:chr m:val="̅"/>
                <m:ctrlPr>
                  <w:rPr>
                    <w:rFonts w:ascii="Cambria Math" w:eastAsia="×–¾’©‘Ì" w:hAnsi="Cambria Math"/>
                    <w:i/>
                    <w:lang w:eastAsia="en-US"/>
                  </w:rPr>
                </m:ctrlPr>
              </m:accPr>
              <m:e>
                <m:r>
                  <w:rPr>
                    <w:rFonts w:ascii="Cambria Math" w:eastAsia="×–¾’©‘Ì" w:hAnsi="Cambria Math"/>
                  </w:rPr>
                  <m:t>EVM</m:t>
                </m:r>
              </m:e>
            </m:acc>
          </m:e>
          <m:sub>
            <m:r>
              <w:rPr>
                <w:rFonts w:ascii="Cambria Math" w:eastAsia="×–¾’©‘Ì" w:hAnsi="Cambria Math"/>
              </w:rPr>
              <m:t>frame,h</m:t>
            </m:r>
          </m:sub>
        </m:sSub>
      </m:oMath>
      <w:r w:rsidRPr="00222D5D">
        <w:rPr>
          <w:rFonts w:eastAsia="×–¾’©‘Ì"/>
          <w:i/>
        </w:rPr>
        <w:t xml:space="preserve"> i</w:t>
      </w:r>
      <w:r w:rsidRPr="00222D5D">
        <w:rPr>
          <w:i/>
        </w:rPr>
        <w:t xml:space="preserve">s calculated using </w:t>
      </w:r>
      <m:oMath>
        <m:acc>
          <m:accPr>
            <m:chr m:val="̃"/>
            <m:ctrlPr>
              <w:rPr>
                <w:rFonts w:ascii="Cambria Math" w:eastAsiaTheme="minorEastAsia" w:hAnsi="Cambria Math"/>
                <w:i/>
                <w:lang w:eastAsia="en-US"/>
              </w:rPr>
            </m:ctrlPr>
          </m:accPr>
          <m:e>
            <m:r>
              <w:rPr>
                <w:rFonts w:ascii="Cambria Math" w:hAnsi="Cambria Math"/>
              </w:rPr>
              <m:t>t</m:t>
            </m:r>
          </m:e>
        </m:acc>
        <m:r>
          <w:rPr>
            <w:rFonts w:ascii="Cambria Math" w:hAnsi="Cambria Math"/>
          </w:rPr>
          <m:t>=∆</m:t>
        </m:r>
        <m:sSub>
          <m:sSubPr>
            <m:ctrlPr>
              <w:rPr>
                <w:rFonts w:ascii="Cambria Math" w:eastAsiaTheme="minorEastAsia" w:hAnsi="Cambria Math"/>
                <w:i/>
                <w:lang w:eastAsia="en-US"/>
              </w:rPr>
            </m:ctrlPr>
          </m:sSubPr>
          <m:e>
            <m:acc>
              <m:accPr>
                <m:chr m:val="̃"/>
                <m:ctrlPr>
                  <w:rPr>
                    <w:rFonts w:ascii="Cambria Math" w:eastAsiaTheme="minorEastAsia" w:hAnsi="Cambria Math"/>
                    <w:i/>
                    <w:lang w:eastAsia="en-US"/>
                  </w:rPr>
                </m:ctrlPr>
              </m:accPr>
              <m:e>
                <m:r>
                  <w:rPr>
                    <w:rFonts w:ascii="Cambria Math" w:hAnsi="Cambria Math"/>
                  </w:rPr>
                  <m:t>t</m:t>
                </m:r>
              </m:e>
            </m:acc>
          </m:e>
          <m:sub>
            <m:r>
              <w:rPr>
                <w:rFonts w:ascii="Cambria Math" w:hAnsi="Cambria Math"/>
              </w:rPr>
              <m:t>h</m:t>
            </m:r>
          </m:sub>
        </m:sSub>
      </m:oMath>
      <w:r w:rsidRPr="00222D5D">
        <w:rPr>
          <w:i/>
        </w:rPr>
        <w:t xml:space="preserve"> (l and h, low and high; where low is the timing </w:t>
      </w:r>
      <m:oMath>
        <m:d>
          <m:dPr>
            <m:ctrlPr>
              <w:rPr>
                <w:rFonts w:ascii="Cambria Math" w:eastAsiaTheme="minorEastAsia" w:hAnsi="Cambria Math"/>
                <w:i/>
                <w:lang w:eastAsia="en-US"/>
              </w:rPr>
            </m:ctrlPr>
          </m:dPr>
          <m:e>
            <m:r>
              <w:rPr>
                <w:rFonts w:ascii="Cambria Math" w:hAnsi="Cambria Math"/>
              </w:rPr>
              <m:t>∆c-W/2</m:t>
            </m:r>
          </m:e>
        </m:d>
      </m:oMath>
      <w:r w:rsidRPr="00222D5D">
        <w:rPr>
          <w:i/>
          <w:noProof/>
        </w:rPr>
        <w:t xml:space="preserve"> and and high is the timing </w:t>
      </w:r>
      <m:oMath>
        <m:d>
          <m:dPr>
            <m:ctrlPr>
              <w:rPr>
                <w:rFonts w:ascii="Cambria Math" w:eastAsiaTheme="minorEastAsia" w:hAnsi="Cambria Math"/>
                <w:i/>
                <w:lang w:eastAsia="en-US"/>
              </w:rPr>
            </m:ctrlPr>
          </m:dPr>
          <m:e>
            <m:r>
              <w:rPr>
                <w:rFonts w:ascii="Cambria Math" w:hAnsi="Cambria Math"/>
              </w:rPr>
              <m:t>∆c+W/2</m:t>
            </m:r>
          </m:e>
        </m:d>
      </m:oMath>
      <w:r w:rsidRPr="00222D5D">
        <w:rPr>
          <w:i/>
          <w:noProof/>
        </w:rPr>
        <w:t>)</w:t>
      </w:r>
      <w:r w:rsidRPr="00222D5D">
        <w:rPr>
          <w:i/>
        </w:rPr>
        <w:t>.</w:t>
      </w:r>
    </w:p>
    <w:p w:rsidR="0075068B" w:rsidRPr="00222D5D" w:rsidRDefault="00096BC3" w:rsidP="0075068B">
      <w:pPr>
        <w:pStyle w:val="EQ"/>
        <w:jc w:val="center"/>
        <w:rPr>
          <w:i/>
          <w:iCs/>
        </w:rPr>
      </w:pPr>
      <m:oMathPara>
        <m:oMath>
          <m:sSub>
            <m:sSubPr>
              <m:ctrlPr>
                <w:rPr>
                  <w:rFonts w:ascii="Cambria Math" w:eastAsia="×–¾’©‘Ì" w:hAnsi="Cambria Math"/>
                  <w:i/>
                </w:rPr>
              </m:ctrlPr>
            </m:sSubPr>
            <m:e>
              <m:r>
                <w:rPr>
                  <w:rFonts w:ascii="Cambria Math" w:eastAsia="×–¾’©‘Ì" w:hAnsi="Cambria Math"/>
                </w:rPr>
                <m:t>EVM</m:t>
              </m:r>
            </m:e>
            <m:sub>
              <m: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w:rPr>
                          <w:rFonts w:ascii="Cambria Math" w:eastAsia="×–¾’©‘Ì" w:hAnsi="Cambria Math"/>
                        </w:rPr>
                        <m:t>frame,h</m:t>
                      </m:r>
                    </m:sub>
                  </m:sSub>
                </m:e>
              </m:d>
            </m:e>
          </m:func>
        </m:oMath>
      </m:oMathPara>
    </w:p>
    <w:p w:rsidR="0075068B" w:rsidRDefault="0075068B" w:rsidP="00BB7ABC">
      <w:pPr>
        <w:rPr>
          <w:i/>
        </w:rPr>
      </w:pPr>
      <w:r w:rsidRPr="00222D5D">
        <w:rPr>
          <w:i/>
          <w:sz w:val="20"/>
          <w:szCs w:val="20"/>
          <w:lang w:eastAsia="ja-JP"/>
        </w:rPr>
        <w:object w:dxaOrig="408"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9" o:title=""/>
          </v:shape>
          <o:OLEObject Type="Embed" ProgID="Equation.3" ShapeID="_x0000_i1025" DrawAspect="Content" ObjectID="_1757335157" r:id="rId10"/>
        </w:object>
      </w:r>
      <w:r w:rsidRPr="00222D5D">
        <w:rPr>
          <w:i/>
          <w:sz w:val="20"/>
          <w:szCs w:val="20"/>
          <w:lang w:eastAsia="ja-JP"/>
        </w:rPr>
        <w:t>is estimated so that the EVM window of length W is centred on the measured cyclic prefix of the considered</w:t>
      </w:r>
      <w:r w:rsidRPr="00222D5D">
        <w:rPr>
          <w:i/>
        </w:rPr>
        <w:t xml:space="preserve"> OFDM symbol.</w:t>
      </w:r>
    </w:p>
    <w:p w:rsidR="00222D5D" w:rsidRPr="00222D5D" w:rsidRDefault="00222D5D" w:rsidP="00BB7ABC">
      <w:pPr>
        <w:rPr>
          <w:i/>
        </w:rPr>
      </w:pPr>
    </w:p>
    <w:p w:rsidR="0075068B" w:rsidRPr="00063CC7" w:rsidRDefault="0075068B" w:rsidP="00BB7ABC">
      <w:pPr>
        <w:rPr>
          <w:lang w:val="en-US"/>
        </w:rPr>
      </w:pPr>
      <w:r>
        <w:t xml:space="preserve">The length W for FR1 is shown in the following tables </w:t>
      </w:r>
      <w:r w:rsidR="00503E0F">
        <w:t xml:space="preserve">which are </w:t>
      </w:r>
      <w:r>
        <w:t>copied from TS 38.104.</w:t>
      </w:r>
    </w:p>
    <w:p w:rsidR="0075068B" w:rsidRDefault="0075068B" w:rsidP="0075068B">
      <w:pPr>
        <w:pStyle w:val="TH"/>
      </w:pPr>
      <w:r>
        <w:t>Table B.5.2-1: EVM window length for normal CP, FR1, 15 kHz SCS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75068B" w:rsidTr="00797BC8">
        <w:trPr>
          <w:cantSplit/>
        </w:trPr>
        <w:tc>
          <w:tcPr>
            <w:tcW w:w="165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Channel</w:t>
            </w:r>
            <w:r>
              <w:rPr>
                <w:rFonts w:cs="Arial"/>
              </w:rPr>
              <w:br/>
              <w:t>bandwidth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FFT size</w:t>
            </w:r>
          </w:p>
        </w:tc>
        <w:tc>
          <w:tcPr>
            <w:tcW w:w="2053"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CP length for symbols 1</w:t>
            </w:r>
            <w:r>
              <w:rPr>
                <w:rFonts w:cs="Arial"/>
              </w:rPr>
              <w:noBreakHyphen/>
              <w:t>6 and 8-13 in FFT samples</w:t>
            </w:r>
          </w:p>
        </w:tc>
        <w:tc>
          <w:tcPr>
            <w:tcW w:w="1436"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 xml:space="preserve">EVM window length </w:t>
            </w:r>
            <w:r>
              <w:rPr>
                <w:rFonts w:cs="Arial"/>
                <w:i/>
              </w:rPr>
              <w:t>W</w:t>
            </w:r>
          </w:p>
        </w:tc>
        <w:tc>
          <w:tcPr>
            <w:tcW w:w="226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6 and 8-13 (Note) (%)</w:t>
            </w:r>
          </w:p>
        </w:tc>
      </w:tr>
      <w:tr w:rsidR="0075068B" w:rsidTr="00797BC8">
        <w:trPr>
          <w:cantSplit/>
        </w:trPr>
        <w:tc>
          <w:tcPr>
            <w:tcW w:w="165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512</w:t>
            </w:r>
          </w:p>
        </w:tc>
        <w:tc>
          <w:tcPr>
            <w:tcW w:w="2053"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Calibri"/>
                <w:szCs w:val="18"/>
                <w:lang w:val="en-US"/>
              </w:rPr>
              <w:t>36</w:t>
            </w:r>
          </w:p>
        </w:tc>
        <w:tc>
          <w:tcPr>
            <w:tcW w:w="1436"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14</w:t>
            </w:r>
          </w:p>
        </w:tc>
        <w:tc>
          <w:tcPr>
            <w:tcW w:w="226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40</w:t>
            </w:r>
          </w:p>
        </w:tc>
      </w:tr>
      <w:tr w:rsidR="008D05B1" w:rsidTr="00AC7B09">
        <w:trPr>
          <w:cantSplit/>
        </w:trPr>
        <w:tc>
          <w:tcPr>
            <w:tcW w:w="8573" w:type="dxa"/>
            <w:gridSpan w:val="5"/>
            <w:tcBorders>
              <w:top w:val="single" w:sz="4" w:space="0" w:color="auto"/>
              <w:left w:val="single" w:sz="4" w:space="0" w:color="auto"/>
              <w:bottom w:val="single" w:sz="4" w:space="0" w:color="auto"/>
              <w:right w:val="single" w:sz="4" w:space="0" w:color="auto"/>
            </w:tcBorders>
            <w:vAlign w:val="center"/>
          </w:tcPr>
          <w:p w:rsidR="008D05B1" w:rsidRDefault="008D05B1" w:rsidP="00797BC8">
            <w:pPr>
              <w:pStyle w:val="TAC"/>
              <w:rPr>
                <w:rFonts w:cs="Arial"/>
              </w:rPr>
            </w:pPr>
            <w:r>
              <w:rPr>
                <w:rFonts w:cs="Arial"/>
              </w:rPr>
              <w:t>……</w:t>
            </w:r>
          </w:p>
        </w:tc>
      </w:tr>
      <w:tr w:rsidR="0075068B" w:rsidTr="00797BC8">
        <w:trPr>
          <w:cantSplit/>
        </w:trPr>
        <w:tc>
          <w:tcPr>
            <w:tcW w:w="165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25</w:t>
            </w:r>
          </w:p>
        </w:tc>
        <w:tc>
          <w:tcPr>
            <w:tcW w:w="1170"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2048</w:t>
            </w:r>
          </w:p>
        </w:tc>
        <w:tc>
          <w:tcPr>
            <w:tcW w:w="2053"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Calibri"/>
                <w:szCs w:val="18"/>
                <w:lang w:val="en-US"/>
              </w:rPr>
              <w:t>144</w:t>
            </w:r>
          </w:p>
        </w:tc>
        <w:tc>
          <w:tcPr>
            <w:tcW w:w="1436"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72</w:t>
            </w:r>
          </w:p>
        </w:tc>
        <w:tc>
          <w:tcPr>
            <w:tcW w:w="226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797BC8">
            <w:pPr>
              <w:pStyle w:val="TAC"/>
              <w:rPr>
                <w:rFonts w:cs="Arial"/>
              </w:rPr>
            </w:pPr>
            <w:r>
              <w:rPr>
                <w:rFonts w:cs="Arial"/>
              </w:rPr>
              <w:t>50</w:t>
            </w:r>
          </w:p>
        </w:tc>
      </w:tr>
      <w:tr w:rsidR="008D05B1" w:rsidTr="00C874EC">
        <w:trPr>
          <w:cantSplit/>
        </w:trPr>
        <w:tc>
          <w:tcPr>
            <w:tcW w:w="8573" w:type="dxa"/>
            <w:gridSpan w:val="5"/>
            <w:tcBorders>
              <w:top w:val="single" w:sz="4" w:space="0" w:color="auto"/>
              <w:left w:val="single" w:sz="4" w:space="0" w:color="auto"/>
              <w:bottom w:val="single" w:sz="4" w:space="0" w:color="auto"/>
              <w:right w:val="single" w:sz="4" w:space="0" w:color="auto"/>
            </w:tcBorders>
            <w:vAlign w:val="center"/>
          </w:tcPr>
          <w:p w:rsidR="008D05B1" w:rsidRDefault="008D05B1" w:rsidP="00797BC8">
            <w:pPr>
              <w:pStyle w:val="TAC"/>
              <w:rPr>
                <w:rFonts w:cs="Arial"/>
              </w:rPr>
            </w:pPr>
            <w:r>
              <w:rPr>
                <w:rFonts w:cs="Arial"/>
              </w:rPr>
              <w:t>……</w:t>
            </w:r>
          </w:p>
        </w:tc>
      </w:tr>
    </w:tbl>
    <w:p w:rsidR="0075068B" w:rsidRDefault="0075068B" w:rsidP="0075068B">
      <w:pPr>
        <w:rPr>
          <w:rFonts w:eastAsiaTheme="minorEastAsia"/>
          <w:sz w:val="20"/>
          <w:szCs w:val="20"/>
          <w:lang w:eastAsia="en-US"/>
        </w:rPr>
      </w:pPr>
    </w:p>
    <w:p w:rsidR="0075068B" w:rsidRDefault="0075068B" w:rsidP="0075068B">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tblGrid>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Channel</w:t>
            </w:r>
            <w:r>
              <w:rPr>
                <w:rFonts w:cs="Arial"/>
              </w:rPr>
              <w:br/>
              <w:t>bandwidth (MHz)</w:t>
            </w:r>
          </w:p>
        </w:tc>
        <w:tc>
          <w:tcPr>
            <w:tcW w:w="1175"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FFT size</w:t>
            </w:r>
          </w:p>
        </w:tc>
        <w:tc>
          <w:tcPr>
            <w:tcW w:w="1982"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CP length for symbols 1</w:t>
            </w:r>
            <w:r>
              <w:rPr>
                <w:rFonts w:cs="Arial"/>
              </w:rPr>
              <w:noBreakHyphen/>
              <w:t>13 in FFT samples</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 xml:space="preserve">EVM window length </w:t>
            </w:r>
            <w:r>
              <w:rPr>
                <w:rFonts w:cs="Arial"/>
                <w:i/>
              </w:rPr>
              <w:t>W</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H"/>
              <w:rPr>
                <w:rFonts w:cs="Arial"/>
              </w:rPr>
            </w:pPr>
            <w:r>
              <w:rPr>
                <w:rFonts w:cs="Arial"/>
              </w:rPr>
              <w:t xml:space="preserve">Ratio of </w:t>
            </w:r>
            <w:r>
              <w:rPr>
                <w:rFonts w:cs="Arial"/>
                <w:i/>
              </w:rPr>
              <w:t>W</w:t>
            </w:r>
            <w:r>
              <w:rPr>
                <w:rFonts w:cs="Arial"/>
              </w:rPr>
              <w:t xml:space="preserve"> to total CP length for symbols 1</w:t>
            </w:r>
            <w:r>
              <w:rPr>
                <w:rFonts w:cs="Arial"/>
              </w:rPr>
              <w:noBreakHyphen/>
              <w:t>13 (Note) (%)</w:t>
            </w:r>
          </w:p>
        </w:tc>
      </w:tr>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5</w:t>
            </w:r>
          </w:p>
        </w:tc>
        <w:tc>
          <w:tcPr>
            <w:tcW w:w="1175"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256</w:t>
            </w:r>
          </w:p>
        </w:tc>
        <w:tc>
          <w:tcPr>
            <w:tcW w:w="1982"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18</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C"/>
              <w:rPr>
                <w:rFonts w:cs="Arial"/>
              </w:rPr>
            </w:pPr>
            <w:r>
              <w:rPr>
                <w:rFonts w:cs="Arial"/>
              </w:rPr>
              <w:t>8</w:t>
            </w:r>
          </w:p>
        </w:tc>
        <w:tc>
          <w:tcPr>
            <w:tcW w:w="2294"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rPr>
                <w:rFonts w:cs="Arial"/>
              </w:rPr>
              <w:t>40</w:t>
            </w:r>
          </w:p>
        </w:tc>
      </w:tr>
      <w:tr w:rsidR="008D05B1" w:rsidTr="00B83112">
        <w:trPr>
          <w:cantSplit/>
          <w:jc w:val="center"/>
        </w:trPr>
        <w:tc>
          <w:tcPr>
            <w:tcW w:w="8581" w:type="dxa"/>
            <w:gridSpan w:val="5"/>
            <w:tcBorders>
              <w:top w:val="single" w:sz="4" w:space="0" w:color="auto"/>
              <w:left w:val="single" w:sz="4" w:space="0" w:color="auto"/>
              <w:bottom w:val="single" w:sz="4" w:space="0" w:color="auto"/>
              <w:right w:val="single" w:sz="4" w:space="0" w:color="auto"/>
            </w:tcBorders>
          </w:tcPr>
          <w:p w:rsidR="008D05B1" w:rsidRDefault="008D05B1" w:rsidP="00CA52D9">
            <w:pPr>
              <w:pStyle w:val="TAC"/>
              <w:rPr>
                <w:rFonts w:cs="Arial"/>
              </w:rPr>
            </w:pPr>
            <w:r>
              <w:rPr>
                <w:rFonts w:cs="Arial"/>
              </w:rPr>
              <w:t>……</w:t>
            </w:r>
          </w:p>
        </w:tc>
      </w:tr>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25</w:t>
            </w:r>
          </w:p>
        </w:tc>
        <w:tc>
          <w:tcPr>
            <w:tcW w:w="1175"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lang w:eastAsia="zh-CN"/>
              </w:rPr>
            </w:pPr>
            <w:r>
              <w:t>1024</w:t>
            </w:r>
          </w:p>
        </w:tc>
        <w:tc>
          <w:tcPr>
            <w:tcW w:w="1982"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72</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C"/>
              <w:rPr>
                <w:rFonts w:cs="Arial"/>
              </w:rPr>
            </w:pPr>
            <w:r>
              <w:rPr>
                <w:rFonts w:cs="Arial"/>
              </w:rPr>
              <w:t>36</w:t>
            </w:r>
          </w:p>
        </w:tc>
        <w:tc>
          <w:tcPr>
            <w:tcW w:w="2294"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rPr>
                <w:rFonts w:cs="Arial"/>
              </w:rPr>
              <w:t>50</w:t>
            </w:r>
          </w:p>
        </w:tc>
      </w:tr>
      <w:tr w:rsidR="008D05B1" w:rsidTr="00C6528A">
        <w:trPr>
          <w:cantSplit/>
          <w:jc w:val="center"/>
        </w:trPr>
        <w:tc>
          <w:tcPr>
            <w:tcW w:w="8581" w:type="dxa"/>
            <w:gridSpan w:val="5"/>
            <w:tcBorders>
              <w:top w:val="single" w:sz="4" w:space="0" w:color="auto"/>
              <w:left w:val="single" w:sz="4" w:space="0" w:color="auto"/>
              <w:bottom w:val="single" w:sz="4" w:space="0" w:color="auto"/>
              <w:right w:val="single" w:sz="4" w:space="0" w:color="auto"/>
            </w:tcBorders>
          </w:tcPr>
          <w:p w:rsidR="008D05B1" w:rsidRDefault="008D05B1" w:rsidP="00CA52D9">
            <w:pPr>
              <w:pStyle w:val="TAC"/>
              <w:rPr>
                <w:rFonts w:cs="Arial"/>
              </w:rPr>
            </w:pPr>
            <w:r>
              <w:rPr>
                <w:rFonts w:cs="Arial"/>
              </w:rPr>
              <w:t>……</w:t>
            </w:r>
          </w:p>
        </w:tc>
      </w:tr>
      <w:tr w:rsidR="0075068B" w:rsidTr="00CA52D9">
        <w:trPr>
          <w:cantSplit/>
          <w:jc w:val="center"/>
        </w:trPr>
        <w:tc>
          <w:tcPr>
            <w:tcW w:w="1661"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60</w:t>
            </w:r>
          </w:p>
        </w:tc>
        <w:tc>
          <w:tcPr>
            <w:tcW w:w="1175"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Arial"/>
              </w:rPr>
            </w:pPr>
            <w:r>
              <w:t>3072</w:t>
            </w:r>
          </w:p>
        </w:tc>
        <w:tc>
          <w:tcPr>
            <w:tcW w:w="1982"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Calibri"/>
                <w:szCs w:val="18"/>
                <w:lang w:val="en-US"/>
              </w:rPr>
            </w:pPr>
            <w:r>
              <w:t>216</w:t>
            </w:r>
          </w:p>
        </w:tc>
        <w:tc>
          <w:tcPr>
            <w:tcW w:w="1469" w:type="dxa"/>
            <w:tcBorders>
              <w:top w:val="single" w:sz="4" w:space="0" w:color="auto"/>
              <w:left w:val="single" w:sz="4" w:space="0" w:color="auto"/>
              <w:bottom w:val="single" w:sz="4" w:space="0" w:color="auto"/>
              <w:right w:val="single" w:sz="4" w:space="0" w:color="auto"/>
            </w:tcBorders>
            <w:vAlign w:val="center"/>
            <w:hideMark/>
          </w:tcPr>
          <w:p w:rsidR="0075068B" w:rsidRDefault="0075068B" w:rsidP="00CA52D9">
            <w:pPr>
              <w:pStyle w:val="TAC"/>
              <w:rPr>
                <w:rFonts w:cs="Arial"/>
              </w:rPr>
            </w:pPr>
            <w:r>
              <w:rPr>
                <w:rFonts w:cs="Arial"/>
              </w:rPr>
              <w:t>130</w:t>
            </w:r>
          </w:p>
        </w:tc>
        <w:tc>
          <w:tcPr>
            <w:tcW w:w="2294" w:type="dxa"/>
            <w:tcBorders>
              <w:top w:val="single" w:sz="4" w:space="0" w:color="auto"/>
              <w:left w:val="single" w:sz="4" w:space="0" w:color="auto"/>
              <w:bottom w:val="single" w:sz="4" w:space="0" w:color="auto"/>
              <w:right w:val="single" w:sz="4" w:space="0" w:color="auto"/>
            </w:tcBorders>
            <w:hideMark/>
          </w:tcPr>
          <w:p w:rsidR="0075068B" w:rsidRDefault="0075068B" w:rsidP="00CA52D9">
            <w:pPr>
              <w:pStyle w:val="TAC"/>
              <w:rPr>
                <w:rFonts w:cs="Calibri"/>
                <w:szCs w:val="18"/>
                <w:lang w:val="en-US"/>
              </w:rPr>
            </w:pPr>
            <w:r>
              <w:rPr>
                <w:rFonts w:cs="Calibri"/>
                <w:szCs w:val="18"/>
                <w:lang w:val="en-US"/>
              </w:rPr>
              <w:t>60</w:t>
            </w:r>
          </w:p>
        </w:tc>
      </w:tr>
      <w:tr w:rsidR="008D05B1" w:rsidTr="0033167E">
        <w:trPr>
          <w:cantSplit/>
          <w:jc w:val="center"/>
        </w:trPr>
        <w:tc>
          <w:tcPr>
            <w:tcW w:w="8581" w:type="dxa"/>
            <w:gridSpan w:val="5"/>
            <w:tcBorders>
              <w:top w:val="single" w:sz="4" w:space="0" w:color="auto"/>
              <w:left w:val="single" w:sz="4" w:space="0" w:color="auto"/>
              <w:bottom w:val="single" w:sz="4" w:space="0" w:color="auto"/>
              <w:right w:val="single" w:sz="4" w:space="0" w:color="auto"/>
            </w:tcBorders>
          </w:tcPr>
          <w:p w:rsidR="008D05B1" w:rsidRDefault="008D05B1" w:rsidP="00CA52D9">
            <w:pPr>
              <w:pStyle w:val="TAC"/>
              <w:rPr>
                <w:rFonts w:cs="Calibri"/>
                <w:szCs w:val="18"/>
                <w:lang w:val="en-US"/>
              </w:rPr>
            </w:pPr>
            <w:r>
              <w:rPr>
                <w:rFonts w:cs="Calibri"/>
                <w:szCs w:val="18"/>
                <w:lang w:val="en-US"/>
              </w:rPr>
              <w:t>……</w:t>
            </w:r>
          </w:p>
        </w:tc>
      </w:tr>
    </w:tbl>
    <w:p w:rsidR="00222D5D" w:rsidRDefault="00222D5D" w:rsidP="0075068B">
      <w:pPr>
        <w:rPr>
          <w:lang w:val="en-US"/>
        </w:rPr>
      </w:pPr>
    </w:p>
    <w:p w:rsidR="00222D5D" w:rsidRDefault="00222D5D" w:rsidP="00222D5D">
      <w:pPr>
        <w:jc w:val="center"/>
        <w:rPr>
          <w:lang w:val="en-US"/>
        </w:rPr>
      </w:pPr>
      <w:r>
        <w:rPr>
          <w:noProof/>
          <w:lang w:val="en-US"/>
        </w:rPr>
        <w:drawing>
          <wp:inline distT="0" distB="0" distL="0" distR="0" wp14:anchorId="6333B70C" wp14:editId="520238E0">
            <wp:extent cx="2931459" cy="28663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2122" cy="2866982"/>
                    </a:xfrm>
                    <a:prstGeom prst="rect">
                      <a:avLst/>
                    </a:prstGeom>
                    <a:noFill/>
                  </pic:spPr>
                </pic:pic>
              </a:graphicData>
            </a:graphic>
          </wp:inline>
        </w:drawing>
      </w:r>
    </w:p>
    <w:p w:rsidR="00222D5D" w:rsidRPr="003A56D9" w:rsidRDefault="00222D5D" w:rsidP="00222D5D">
      <w:pPr>
        <w:jc w:val="center"/>
        <w:rPr>
          <w:lang w:val="en-US"/>
        </w:rPr>
      </w:pPr>
      <w:r>
        <w:rPr>
          <w:lang w:val="en-US"/>
        </w:rPr>
        <w:t>Figure1: FFT window and Pcell/Scell timing</w:t>
      </w:r>
    </w:p>
    <w:p w:rsidR="0075068B" w:rsidRDefault="0075068B" w:rsidP="00BB7ABC">
      <w:pPr>
        <w:rPr>
          <w:lang w:val="en-US"/>
        </w:rPr>
      </w:pPr>
      <w:r>
        <w:rPr>
          <w:lang w:val="en-US"/>
        </w:rPr>
        <w:t>As shown in</w:t>
      </w:r>
      <w:r w:rsidR="00F75D90">
        <w:rPr>
          <w:lang w:val="en-US"/>
        </w:rPr>
        <w:t xml:space="preserve"> the Figure 1, the time tolerance </w:t>
      </w:r>
      <w:r w:rsidR="00222D5D">
        <w:rPr>
          <w:lang w:val="en-US"/>
        </w:rPr>
        <w:t>(</w:t>
      </w:r>
      <w:r>
        <w:rPr>
          <w:lang w:val="en-US"/>
        </w:rPr>
        <w:t>the lowest FFT processing window</w:t>
      </w:r>
      <w:r w:rsidR="00222D5D">
        <w:rPr>
          <w:lang w:val="en-US"/>
        </w:rPr>
        <w:t>)</w:t>
      </w:r>
      <w:r w:rsidR="0094317D">
        <w:rPr>
          <w:lang w:val="en-US"/>
        </w:rPr>
        <w:t>/</w:t>
      </w:r>
      <w:r w:rsidR="00222D5D">
        <w:rPr>
          <w:lang w:val="en-US"/>
        </w:rPr>
        <w:t>(</w:t>
      </w:r>
      <w:r w:rsidR="0094317D">
        <w:rPr>
          <w:lang w:val="en-US"/>
        </w:rPr>
        <w:t>t</w:t>
      </w:r>
      <w:r>
        <w:rPr>
          <w:lang w:val="en-US"/>
        </w:rPr>
        <w:t>he highest FFT processing window</w:t>
      </w:r>
      <w:r w:rsidR="00222D5D">
        <w:rPr>
          <w:lang w:val="en-US"/>
        </w:rPr>
        <w:t>)</w:t>
      </w:r>
      <w:r>
        <w:rPr>
          <w:lang w:val="en-US"/>
        </w:rPr>
        <w:t xml:space="preserve"> </w:t>
      </w:r>
      <w:r w:rsidR="0094317D">
        <w:rPr>
          <w:lang w:val="en-US"/>
        </w:rPr>
        <w:t>and</w:t>
      </w:r>
      <w:r w:rsidR="00F75D90">
        <w:rPr>
          <w:lang w:val="en-US"/>
        </w:rPr>
        <w:t xml:space="preserve"> </w:t>
      </w:r>
      <w:r w:rsidR="00222D5D">
        <w:rPr>
          <w:lang w:val="en-US"/>
        </w:rPr>
        <w:t>(</w:t>
      </w:r>
      <w:r w:rsidR="00F75D90">
        <w:rPr>
          <w:lang w:val="en-US"/>
        </w:rPr>
        <w:t>the center FFT processing window</w:t>
      </w:r>
      <w:r w:rsidR="00222D5D">
        <w:rPr>
          <w:lang w:val="en-US"/>
        </w:rPr>
        <w:t>)</w:t>
      </w:r>
      <w:r w:rsidR="00F75D90">
        <w:rPr>
          <w:lang w:val="en-US"/>
        </w:rPr>
        <w:t xml:space="preserve"> is half of </w:t>
      </w:r>
      <w:r>
        <w:rPr>
          <w:lang w:val="en-US"/>
        </w:rPr>
        <w:t>the length of W.</w:t>
      </w:r>
      <w:r w:rsidR="00F75D90">
        <w:rPr>
          <w:lang w:val="en-US"/>
        </w:rPr>
        <w:t xml:space="preserve"> </w:t>
      </w:r>
      <w:r w:rsidR="0094317D">
        <w:rPr>
          <w:lang w:val="en-US"/>
        </w:rPr>
        <w:t>So f</w:t>
      </w:r>
      <w:r w:rsidR="00F75D90">
        <w:rPr>
          <w:lang w:val="en-US"/>
        </w:rPr>
        <w:t xml:space="preserve">or the Scell, when the timing for the center FFT processing window is selected, the TAE </w:t>
      </w:r>
      <w:r w:rsidR="0094317D">
        <w:rPr>
          <w:lang w:val="en-US"/>
        </w:rPr>
        <w:t>allowed is equal to</w:t>
      </w:r>
      <w:r w:rsidR="00F75D90">
        <w:rPr>
          <w:lang w:val="en-US"/>
        </w:rPr>
        <w:t xml:space="preserve"> half of W. The timing of the center FFT processing window for Scell can have some offset between Pcell and Scell based on the implementation. </w:t>
      </w:r>
      <w:r w:rsidR="0094317D">
        <w:rPr>
          <w:lang w:val="en-US"/>
        </w:rPr>
        <w:t>But</w:t>
      </w:r>
      <w:r w:rsidR="00F75D90">
        <w:rPr>
          <w:lang w:val="en-US"/>
        </w:rPr>
        <w:t xml:space="preserve"> the time tolerance is </w:t>
      </w:r>
      <w:r w:rsidR="0094317D">
        <w:rPr>
          <w:lang w:val="en-US"/>
        </w:rPr>
        <w:t xml:space="preserve">not changed </w:t>
      </w:r>
      <w:r w:rsidR="00503E0F">
        <w:rPr>
          <w:lang w:val="en-US"/>
        </w:rPr>
        <w:t>when</w:t>
      </w:r>
      <w:r w:rsidR="0094317D">
        <w:rPr>
          <w:lang w:val="en-US"/>
        </w:rPr>
        <w:t xml:space="preserve"> the time domain data SNR quality</w:t>
      </w:r>
      <w:r w:rsidR="00503E0F">
        <w:rPr>
          <w:lang w:val="en-US"/>
        </w:rPr>
        <w:t xml:space="preserve"> is taken into acount</w:t>
      </w:r>
      <w:r w:rsidR="0094317D">
        <w:rPr>
          <w:lang w:val="en-US"/>
        </w:rPr>
        <w:t>.</w:t>
      </w:r>
      <w:r w:rsidR="00F75D90">
        <w:rPr>
          <w:lang w:val="en-US"/>
        </w:rPr>
        <w:t xml:space="preserve"> Scell timing may be ad</w:t>
      </w:r>
      <w:r w:rsidR="00F75D90">
        <w:rPr>
          <w:rFonts w:hint="eastAsia"/>
          <w:lang w:val="en-US"/>
        </w:rPr>
        <w:t xml:space="preserve">vanced or delayed of Pcell timing </w:t>
      </w:r>
      <w:r w:rsidR="0094317D">
        <w:rPr>
          <w:lang w:val="en-US"/>
        </w:rPr>
        <w:t>according to UE FFT processing window chosen strategy. The Scell timing should be selected referring to the center FFT processing window to allow the TAE for both sides.</w:t>
      </w:r>
    </w:p>
    <w:p w:rsidR="00A16BB4" w:rsidRPr="00F34FA0" w:rsidRDefault="00A16BB4" w:rsidP="00BB7ABC">
      <w:pPr>
        <w:rPr>
          <w:b/>
          <w:lang w:val="en-US"/>
        </w:rPr>
      </w:pPr>
      <w:r w:rsidRPr="00F34FA0">
        <w:rPr>
          <w:b/>
          <w:lang w:val="en-US"/>
        </w:rPr>
        <w:t xml:space="preserve">Observation 1: The lowest time edge and the highest time edge of the FFT processing windows for the one symbol is the length of </w:t>
      </w:r>
      <w:r w:rsidR="00C16CFB" w:rsidRPr="00F34FA0">
        <w:rPr>
          <w:b/>
          <w:lang w:val="en-US"/>
        </w:rPr>
        <w:t>W, which is the EVM window.</w:t>
      </w:r>
    </w:p>
    <w:p w:rsidR="00042D84" w:rsidRDefault="00C16CFB" w:rsidP="00BB7ABC">
      <w:pPr>
        <w:rPr>
          <w:b/>
          <w:lang w:val="en-US"/>
        </w:rPr>
      </w:pPr>
      <w:r w:rsidRPr="00F34FA0">
        <w:rPr>
          <w:b/>
          <w:lang w:val="en-US"/>
        </w:rPr>
        <w:t>Observation 2: The Scell time TAE compared with Pcell should be less than W/2 to guarantee the sampled data for FFT is complete.</w:t>
      </w:r>
    </w:p>
    <w:p w:rsidR="007477EC" w:rsidRPr="0094317D" w:rsidRDefault="007477EC" w:rsidP="00BB7ABC">
      <w:pPr>
        <w:rPr>
          <w:lang w:val="en-US"/>
        </w:rPr>
      </w:pPr>
      <w:r>
        <w:rPr>
          <w:b/>
          <w:lang w:val="en-US"/>
        </w:rPr>
        <w:t>Observation 3: Using center FFT processing window for the Pcell as the Scell FFT window seems the correct implementation to accommodate the advance or delay possibility of TAE.</w:t>
      </w:r>
    </w:p>
    <w:p w:rsidR="00042D84" w:rsidRDefault="00042D84" w:rsidP="00DF62C3">
      <w:pPr>
        <w:rPr>
          <w:lang w:val="en-US"/>
        </w:rPr>
      </w:pPr>
    </w:p>
    <w:p w:rsidR="0075068B" w:rsidRDefault="00DF62C3" w:rsidP="0075068B">
      <w:pPr>
        <w:rPr>
          <w:lang w:val="en-US"/>
        </w:rPr>
      </w:pPr>
      <w:r>
        <w:rPr>
          <w:lang w:val="en-US"/>
        </w:rPr>
        <w:t xml:space="preserve">According to TS 38.104, </w:t>
      </w:r>
      <w:r w:rsidR="00ED07B8">
        <w:rPr>
          <w:lang w:val="en-US"/>
        </w:rPr>
        <w:t>t</w:t>
      </w:r>
      <w:r w:rsidR="0075068B">
        <w:rPr>
          <w:lang w:val="en-US"/>
        </w:rPr>
        <w:t>he time length of W</w:t>
      </w:r>
      <w:r>
        <w:rPr>
          <w:lang w:val="en-US"/>
        </w:rPr>
        <w:t>/2</w:t>
      </w:r>
      <w:r w:rsidR="0075068B">
        <w:rPr>
          <w:lang w:val="en-US"/>
        </w:rPr>
        <w:t xml:space="preserve"> is shown in the following table,</w:t>
      </w:r>
    </w:p>
    <w:tbl>
      <w:tblPr>
        <w:tblW w:w="5320" w:type="dxa"/>
        <w:tblInd w:w="93" w:type="dxa"/>
        <w:tblLook w:val="04A0" w:firstRow="1" w:lastRow="0" w:firstColumn="1" w:lastColumn="0" w:noHBand="0" w:noVBand="1"/>
      </w:tblPr>
      <w:tblGrid>
        <w:gridCol w:w="2440"/>
        <w:gridCol w:w="960"/>
        <w:gridCol w:w="960"/>
        <w:gridCol w:w="960"/>
      </w:tblGrid>
      <w:tr w:rsidR="0095557E" w:rsidRPr="0095557E" w:rsidTr="0095557E">
        <w:trPr>
          <w:trHeight w:val="300"/>
        </w:trPr>
        <w:tc>
          <w:tcPr>
            <w:tcW w:w="2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SCS (kHz)</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15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30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60</w:t>
            </w:r>
          </w:p>
        </w:tc>
      </w:tr>
      <w:tr w:rsidR="0095557E" w:rsidRPr="0095557E" w:rsidTr="0095557E">
        <w:trPr>
          <w:trHeight w:val="300"/>
        </w:trPr>
        <w:tc>
          <w:tcPr>
            <w:tcW w:w="2440" w:type="dxa"/>
            <w:tcBorders>
              <w:top w:val="nil"/>
              <w:left w:val="single" w:sz="8" w:space="0" w:color="auto"/>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CP length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4.69</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2.34</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1.17</w:t>
            </w:r>
          </w:p>
        </w:tc>
      </w:tr>
      <w:tr w:rsidR="0095557E" w:rsidRPr="0095557E" w:rsidTr="0095557E">
        <w:trPr>
          <w:trHeight w:val="564"/>
        </w:trPr>
        <w:tc>
          <w:tcPr>
            <w:tcW w:w="2440" w:type="dxa"/>
            <w:tcBorders>
              <w:top w:val="nil"/>
              <w:left w:val="single" w:sz="8" w:space="0" w:color="auto"/>
              <w:bottom w:val="single" w:sz="8" w:space="0" w:color="auto"/>
              <w:right w:val="single" w:sz="8" w:space="0" w:color="auto"/>
            </w:tcBorders>
            <w:shd w:val="clear" w:color="auto" w:fill="auto"/>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 xml:space="preserve">W/2 when </w:t>
            </w:r>
            <w:r w:rsidRPr="0095557E">
              <w:rPr>
                <w:color w:val="000000"/>
                <w:sz w:val="22"/>
                <w:lang w:val="en-US"/>
              </w:rPr>
              <w:br/>
              <w:t>W_length=40% CP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0.94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0.47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0.23 </w:t>
            </w:r>
          </w:p>
        </w:tc>
      </w:tr>
      <w:tr w:rsidR="0095557E" w:rsidRPr="0095557E" w:rsidTr="0095557E">
        <w:trPr>
          <w:trHeight w:val="564"/>
        </w:trPr>
        <w:tc>
          <w:tcPr>
            <w:tcW w:w="2440" w:type="dxa"/>
            <w:tcBorders>
              <w:top w:val="nil"/>
              <w:left w:val="single" w:sz="8" w:space="0" w:color="auto"/>
              <w:bottom w:val="single" w:sz="8" w:space="0" w:color="auto"/>
              <w:right w:val="single" w:sz="8" w:space="0" w:color="auto"/>
            </w:tcBorders>
            <w:shd w:val="clear" w:color="auto" w:fill="auto"/>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 xml:space="preserve">W/2 when </w:t>
            </w:r>
            <w:r w:rsidRPr="0095557E">
              <w:rPr>
                <w:color w:val="000000"/>
                <w:sz w:val="22"/>
                <w:lang w:val="en-US"/>
              </w:rPr>
              <w:br/>
              <w:t>W_length=50% CP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1.17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0.59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0.29 </w:t>
            </w:r>
          </w:p>
        </w:tc>
      </w:tr>
      <w:tr w:rsidR="0095557E" w:rsidRPr="0095557E" w:rsidTr="0095557E">
        <w:trPr>
          <w:trHeight w:val="564"/>
        </w:trPr>
        <w:tc>
          <w:tcPr>
            <w:tcW w:w="2440" w:type="dxa"/>
            <w:tcBorders>
              <w:top w:val="nil"/>
              <w:left w:val="single" w:sz="8" w:space="0" w:color="auto"/>
              <w:bottom w:val="single" w:sz="8" w:space="0" w:color="auto"/>
              <w:right w:val="single" w:sz="8" w:space="0" w:color="auto"/>
            </w:tcBorders>
            <w:shd w:val="clear" w:color="auto" w:fill="auto"/>
            <w:vAlign w:val="center"/>
            <w:hideMark/>
          </w:tcPr>
          <w:p w:rsidR="0095557E" w:rsidRPr="0095557E" w:rsidRDefault="0095557E" w:rsidP="0095557E">
            <w:pPr>
              <w:overflowPunct/>
              <w:autoSpaceDE/>
              <w:autoSpaceDN/>
              <w:adjustRightInd/>
              <w:spacing w:before="0" w:after="0"/>
              <w:jc w:val="left"/>
              <w:textAlignment w:val="auto"/>
              <w:rPr>
                <w:color w:val="000000"/>
                <w:sz w:val="22"/>
                <w:lang w:val="en-US"/>
              </w:rPr>
            </w:pPr>
            <w:r w:rsidRPr="0095557E">
              <w:rPr>
                <w:color w:val="000000"/>
                <w:sz w:val="22"/>
                <w:lang w:val="en-US"/>
              </w:rPr>
              <w:t xml:space="preserve">W/2 when </w:t>
            </w:r>
            <w:r w:rsidRPr="0095557E">
              <w:rPr>
                <w:color w:val="000000"/>
                <w:sz w:val="22"/>
                <w:lang w:val="en-US"/>
              </w:rPr>
              <w:br/>
              <w:t>W_length=60% CP (us)</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1.41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0.70 </w:t>
            </w:r>
          </w:p>
        </w:tc>
        <w:tc>
          <w:tcPr>
            <w:tcW w:w="960" w:type="dxa"/>
            <w:tcBorders>
              <w:top w:val="nil"/>
              <w:left w:val="nil"/>
              <w:bottom w:val="single" w:sz="8" w:space="0" w:color="auto"/>
              <w:right w:val="single" w:sz="8" w:space="0" w:color="auto"/>
            </w:tcBorders>
            <w:shd w:val="clear" w:color="auto" w:fill="auto"/>
            <w:noWrap/>
            <w:vAlign w:val="center"/>
            <w:hideMark/>
          </w:tcPr>
          <w:p w:rsidR="0095557E" w:rsidRPr="0095557E" w:rsidRDefault="0095557E" w:rsidP="0095557E">
            <w:pPr>
              <w:overflowPunct/>
              <w:autoSpaceDE/>
              <w:autoSpaceDN/>
              <w:adjustRightInd/>
              <w:spacing w:before="0" w:after="0"/>
              <w:jc w:val="right"/>
              <w:textAlignment w:val="auto"/>
              <w:rPr>
                <w:color w:val="000000"/>
                <w:sz w:val="22"/>
                <w:lang w:val="en-US"/>
              </w:rPr>
            </w:pPr>
            <w:r w:rsidRPr="0095557E">
              <w:rPr>
                <w:color w:val="000000"/>
                <w:sz w:val="22"/>
                <w:lang w:val="en-US"/>
              </w:rPr>
              <w:t xml:space="preserve">0.35 </w:t>
            </w:r>
          </w:p>
        </w:tc>
      </w:tr>
    </w:tbl>
    <w:p w:rsidR="0095557E" w:rsidRDefault="0095557E" w:rsidP="0075068B">
      <w:pPr>
        <w:rPr>
          <w:lang w:val="en-US"/>
        </w:rPr>
      </w:pPr>
    </w:p>
    <w:p w:rsidR="0095557E" w:rsidRPr="0095557E" w:rsidRDefault="0095557E" w:rsidP="0075068B">
      <w:pPr>
        <w:rPr>
          <w:b/>
          <w:lang w:val="en-US"/>
        </w:rPr>
      </w:pPr>
      <w:r w:rsidRPr="0095557E">
        <w:rPr>
          <w:b/>
          <w:lang w:val="en-US"/>
        </w:rPr>
        <w:t xml:space="preserve">Observation </w:t>
      </w:r>
      <w:r w:rsidR="00ED07B8">
        <w:rPr>
          <w:b/>
          <w:lang w:val="en-US"/>
        </w:rPr>
        <w:t>4</w:t>
      </w:r>
      <w:r w:rsidRPr="0095557E">
        <w:rPr>
          <w:b/>
          <w:lang w:val="en-US"/>
        </w:rPr>
        <w:t xml:space="preserve">: Half of EVM window W </w:t>
      </w:r>
      <w:r w:rsidR="00503E0F">
        <w:rPr>
          <w:b/>
          <w:lang w:val="en-US"/>
        </w:rPr>
        <w:t xml:space="preserve">for 40% CP </w:t>
      </w:r>
      <w:r w:rsidRPr="0095557E">
        <w:rPr>
          <w:b/>
          <w:lang w:val="en-US"/>
        </w:rPr>
        <w:t>is 230 ns, 470 ns and 940 ns for 60 kHz, 30 kHz and 15 kHz SCS.</w:t>
      </w:r>
    </w:p>
    <w:p w:rsidR="0075068B" w:rsidRDefault="00503E0F" w:rsidP="00BB7ABC">
      <w:pPr>
        <w:rPr>
          <w:lang w:val="en-US"/>
        </w:rPr>
      </w:pPr>
      <w:r>
        <w:rPr>
          <w:lang w:val="en-US"/>
        </w:rPr>
        <w:t>It should be noted that t</w:t>
      </w:r>
      <w:r w:rsidR="008753B8">
        <w:rPr>
          <w:lang w:val="en-US"/>
        </w:rPr>
        <w:t>h</w:t>
      </w:r>
      <w:r w:rsidR="00DF62C3">
        <w:rPr>
          <w:lang w:val="en-US"/>
        </w:rPr>
        <w:t>e above a</w:t>
      </w:r>
      <w:r w:rsidR="008753B8">
        <w:rPr>
          <w:lang w:val="en-US"/>
        </w:rPr>
        <w:t xml:space="preserve">nalysis only considers the EVM window analysis. If other aspects, such as multi-path, system margin, etc, shorter TAE </w:t>
      </w:r>
      <w:r w:rsidR="00ED07B8">
        <w:rPr>
          <w:lang w:val="en-US"/>
        </w:rPr>
        <w:t>would bring better system performance.</w:t>
      </w:r>
    </w:p>
    <w:p w:rsidR="00BB7ABC" w:rsidRPr="00331640" w:rsidRDefault="00ED07B8" w:rsidP="00BB7ABC">
      <w:pPr>
        <w:rPr>
          <w:b/>
          <w:lang w:val="en-US"/>
        </w:rPr>
      </w:pPr>
      <w:r>
        <w:rPr>
          <w:lang w:val="en-US"/>
        </w:rPr>
        <w:t xml:space="preserve">From the above </w:t>
      </w:r>
      <w:r w:rsidR="000373E9">
        <w:rPr>
          <w:lang w:val="en-US"/>
        </w:rPr>
        <w:t>analysis, the following side condition for UE RTD can be provided to RRM part.</w:t>
      </w:r>
    </w:p>
    <w:p w:rsidR="00331640" w:rsidRPr="000373E9" w:rsidRDefault="000373E9" w:rsidP="009E12E0">
      <w:pPr>
        <w:rPr>
          <w:b/>
          <w:color w:val="000000" w:themeColor="text1"/>
          <w:sz w:val="20"/>
          <w:lang w:val="en-US"/>
        </w:rPr>
      </w:pPr>
      <w:r>
        <w:rPr>
          <w:b/>
          <w:color w:val="000000" w:themeColor="text1"/>
          <w:sz w:val="20"/>
          <w:lang w:val="en-US"/>
        </w:rPr>
        <w:t>Proposal</w:t>
      </w:r>
      <w:r w:rsidR="00503E0F">
        <w:rPr>
          <w:b/>
          <w:color w:val="000000" w:themeColor="text1"/>
          <w:sz w:val="20"/>
          <w:lang w:val="en-US"/>
        </w:rPr>
        <w:t xml:space="preserve"> 2</w:t>
      </w:r>
      <w:r>
        <w:rPr>
          <w:b/>
          <w:color w:val="000000" w:themeColor="text1"/>
          <w:sz w:val="20"/>
          <w:lang w:val="en-US"/>
        </w:rPr>
        <w:t xml:space="preserve">: The side condition for UE RTD is </w:t>
      </w:r>
      <w:r w:rsidR="00503E0F">
        <w:rPr>
          <w:b/>
          <w:color w:val="000000" w:themeColor="text1"/>
          <w:sz w:val="20"/>
          <w:lang w:val="en-US"/>
        </w:rPr>
        <w:t xml:space="preserve">that the maximum value </w:t>
      </w:r>
      <w:r w:rsidR="00B2714F">
        <w:rPr>
          <w:b/>
          <w:color w:val="000000" w:themeColor="text1"/>
          <w:sz w:val="20"/>
          <w:lang w:val="en-US"/>
        </w:rPr>
        <w:t xml:space="preserve">of BS TAE </w:t>
      </w:r>
      <w:r w:rsidR="00503E0F">
        <w:rPr>
          <w:b/>
          <w:color w:val="000000" w:themeColor="text1"/>
          <w:sz w:val="20"/>
          <w:lang w:val="en-US"/>
        </w:rPr>
        <w:t xml:space="preserve">is </w:t>
      </w:r>
      <w:r>
        <w:rPr>
          <w:b/>
          <w:color w:val="000000" w:themeColor="text1"/>
          <w:sz w:val="20"/>
          <w:lang w:val="en-US"/>
        </w:rPr>
        <w:t>half of EVM window length</w:t>
      </w:r>
      <w:r w:rsidR="00503E0F">
        <w:rPr>
          <w:b/>
          <w:color w:val="000000" w:themeColor="text1"/>
          <w:sz w:val="20"/>
          <w:lang w:val="en-US"/>
        </w:rPr>
        <w:t xml:space="preserve"> for 40% CP length</w:t>
      </w:r>
      <w:r>
        <w:rPr>
          <w:b/>
          <w:color w:val="000000" w:themeColor="text1"/>
          <w:sz w:val="20"/>
          <w:lang w:val="en-US"/>
        </w:rPr>
        <w:t xml:space="preserve">, i.e. </w:t>
      </w:r>
      <w:r w:rsidRPr="0095557E">
        <w:rPr>
          <w:b/>
          <w:lang w:val="en-US"/>
        </w:rPr>
        <w:t>230 ns, 470 ns and 940 ns for 60 kHz, 30 kHz and 15 kHz SCS.</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EF2F7D" w:rsidRDefault="00015EEC" w:rsidP="00EF2F7D">
      <w:pPr>
        <w:rPr>
          <w:lang w:val="en-US"/>
        </w:rPr>
      </w:pPr>
      <w:r>
        <w:rPr>
          <w:rFonts w:hint="eastAsia"/>
          <w:lang w:val="en-US"/>
        </w:rPr>
        <w:t xml:space="preserve">This contribution </w:t>
      </w:r>
      <w:r>
        <w:rPr>
          <w:lang w:val="en-US"/>
        </w:rPr>
        <w:t>provides</w:t>
      </w:r>
      <w:r>
        <w:rPr>
          <w:rFonts w:hint="eastAsia"/>
          <w:lang w:val="en-US"/>
        </w:rPr>
        <w:t xml:space="preserve"> our analysis and views on BS TAE requirements, UE RF impact and UE received power imbalance. We have the following observations and proposals.</w:t>
      </w:r>
    </w:p>
    <w:p w:rsidR="00815A07" w:rsidRPr="00503E0F" w:rsidRDefault="00815A07" w:rsidP="00815A07">
      <w:pPr>
        <w:rPr>
          <w:b/>
          <w:lang w:val="en-US"/>
        </w:rPr>
      </w:pPr>
      <w:r w:rsidRPr="00503E0F">
        <w:rPr>
          <w:b/>
          <w:lang w:val="en-US"/>
        </w:rPr>
        <w:t>Proposal 1: The following option is approved for the BS RF NES discussion.</w:t>
      </w:r>
    </w:p>
    <w:p w:rsidR="00815A07" w:rsidRPr="00503E0F" w:rsidRDefault="00815A07" w:rsidP="00815A07">
      <w:pPr>
        <w:pStyle w:val="afa"/>
        <w:widowControl/>
        <w:numPr>
          <w:ilvl w:val="0"/>
          <w:numId w:val="22"/>
        </w:numPr>
        <w:tabs>
          <w:tab w:val="left" w:pos="1701"/>
        </w:tabs>
        <w:overflowPunct w:val="0"/>
        <w:autoSpaceDE w:val="0"/>
        <w:autoSpaceDN w:val="0"/>
        <w:adjustRightInd w:val="0"/>
        <w:spacing w:before="0" w:after="120" w:line="256" w:lineRule="auto"/>
        <w:ind w:left="360" w:firstLineChars="0"/>
        <w:rPr>
          <w:rFonts w:eastAsiaTheme="minorEastAsia"/>
          <w:b/>
          <w:bCs/>
        </w:rPr>
      </w:pPr>
      <w:r w:rsidRPr="00503E0F">
        <w:rPr>
          <w:rFonts w:eastAsiaTheme="minorEastAsia"/>
          <w:b/>
          <w:bCs/>
        </w:rPr>
        <w:t>Alternative #1:</w:t>
      </w:r>
    </w:p>
    <w:p w:rsidR="00815A07" w:rsidRPr="00503E0F" w:rsidRDefault="00815A07" w:rsidP="00815A07">
      <w:pPr>
        <w:pStyle w:val="afa"/>
        <w:widowControl/>
        <w:numPr>
          <w:ilvl w:val="1"/>
          <w:numId w:val="22"/>
        </w:numPr>
        <w:tabs>
          <w:tab w:val="left" w:pos="1701"/>
        </w:tabs>
        <w:overflowPunct w:val="0"/>
        <w:autoSpaceDE w:val="0"/>
        <w:autoSpaceDN w:val="0"/>
        <w:adjustRightInd w:val="0"/>
        <w:spacing w:before="0" w:after="120" w:line="256" w:lineRule="auto"/>
        <w:ind w:left="1080" w:firstLineChars="0"/>
        <w:rPr>
          <w:rFonts w:eastAsiaTheme="minorEastAsia"/>
          <w:b/>
          <w:bCs/>
        </w:rPr>
      </w:pPr>
      <w:r w:rsidRPr="00503E0F">
        <w:rPr>
          <w:rFonts w:eastAsiaTheme="minorEastAsia"/>
          <w:b/>
          <w:bCs/>
        </w:rPr>
        <w:t xml:space="preserve">Do not specify the BS TAE requirements of SSB-less operation for FR1 co-located inter-band CA </w:t>
      </w:r>
    </w:p>
    <w:p w:rsidR="00815A07" w:rsidRPr="00503E0F" w:rsidRDefault="00815A07" w:rsidP="00815A07">
      <w:pPr>
        <w:pStyle w:val="afa"/>
        <w:widowControl/>
        <w:numPr>
          <w:ilvl w:val="1"/>
          <w:numId w:val="22"/>
        </w:numPr>
        <w:tabs>
          <w:tab w:val="left" w:pos="1701"/>
        </w:tabs>
        <w:overflowPunct w:val="0"/>
        <w:autoSpaceDE w:val="0"/>
        <w:autoSpaceDN w:val="0"/>
        <w:adjustRightInd w:val="0"/>
        <w:spacing w:before="0" w:after="120" w:line="256" w:lineRule="auto"/>
        <w:ind w:left="1080" w:firstLineChars="0"/>
        <w:rPr>
          <w:rFonts w:eastAsiaTheme="minorEastAsia"/>
          <w:b/>
          <w:bCs/>
        </w:rPr>
      </w:pPr>
      <w:r w:rsidRPr="00503E0F">
        <w:rPr>
          <w:rFonts w:eastAsiaTheme="minorEastAsia"/>
          <w:b/>
          <w:bCs/>
        </w:rPr>
        <w:t>Define the side condition of RTD to ensure UE performance in RRM part.</w:t>
      </w:r>
    </w:p>
    <w:p w:rsidR="00503E0F" w:rsidRDefault="00503E0F" w:rsidP="00503E0F">
      <w:pPr>
        <w:rPr>
          <w:rFonts w:hint="eastAsia"/>
          <w:b/>
          <w:color w:val="000000" w:themeColor="text1"/>
          <w:sz w:val="20"/>
        </w:rPr>
      </w:pPr>
      <w:bookmarkStart w:id="2" w:name="_GoBack"/>
      <w:bookmarkEnd w:id="2"/>
    </w:p>
    <w:p w:rsidR="00815A07" w:rsidRPr="00F34FA0" w:rsidRDefault="00815A07" w:rsidP="00815A07">
      <w:pPr>
        <w:rPr>
          <w:b/>
          <w:lang w:val="en-US"/>
        </w:rPr>
      </w:pPr>
      <w:r w:rsidRPr="00F34FA0">
        <w:rPr>
          <w:b/>
          <w:lang w:val="en-US"/>
        </w:rPr>
        <w:t>Observation 1: The lowest time edge and the highest time edge of the FFT processing windows for the one symbol is the length of W, which is the EVM window.</w:t>
      </w:r>
    </w:p>
    <w:p w:rsidR="00815A07" w:rsidRDefault="00815A07" w:rsidP="00815A07">
      <w:pPr>
        <w:rPr>
          <w:b/>
          <w:lang w:val="en-US"/>
        </w:rPr>
      </w:pPr>
      <w:r w:rsidRPr="00F34FA0">
        <w:rPr>
          <w:b/>
          <w:lang w:val="en-US"/>
        </w:rPr>
        <w:t>Observation 2: The Scell time TAE compared with Pcell should be less than W/2 to guarantee the sampled data for FFT is complete.</w:t>
      </w:r>
    </w:p>
    <w:p w:rsidR="00815A07" w:rsidRPr="0094317D" w:rsidRDefault="00815A07" w:rsidP="00815A07">
      <w:pPr>
        <w:rPr>
          <w:lang w:val="en-US"/>
        </w:rPr>
      </w:pPr>
      <w:r>
        <w:rPr>
          <w:b/>
          <w:lang w:val="en-US"/>
        </w:rPr>
        <w:t>Observation 3: Using center FFT processing window for the Pcell as the Scell FFT window seems the correct implementation to accommodate the advance or delay possibility of TAE.</w:t>
      </w:r>
    </w:p>
    <w:p w:rsidR="00815A07" w:rsidRDefault="00815A07" w:rsidP="00503E0F">
      <w:pPr>
        <w:rPr>
          <w:rFonts w:hint="eastAsia"/>
          <w:b/>
          <w:lang w:val="en-US"/>
        </w:rPr>
      </w:pPr>
      <w:r w:rsidRPr="0095557E">
        <w:rPr>
          <w:b/>
          <w:lang w:val="en-US"/>
        </w:rPr>
        <w:t xml:space="preserve">Observation </w:t>
      </w:r>
      <w:r>
        <w:rPr>
          <w:b/>
          <w:lang w:val="en-US"/>
        </w:rPr>
        <w:t>4</w:t>
      </w:r>
      <w:r w:rsidRPr="0095557E">
        <w:rPr>
          <w:b/>
          <w:lang w:val="en-US"/>
        </w:rPr>
        <w:t xml:space="preserve">: Half of EVM window W </w:t>
      </w:r>
      <w:r>
        <w:rPr>
          <w:b/>
          <w:lang w:val="en-US"/>
        </w:rPr>
        <w:t xml:space="preserve">for 40% CP </w:t>
      </w:r>
      <w:r w:rsidRPr="0095557E">
        <w:rPr>
          <w:b/>
          <w:lang w:val="en-US"/>
        </w:rPr>
        <w:t>is 230 ns, 470 ns and 940 ns for 60 kHz, 30 kHz and 15 kHz SCS.</w:t>
      </w:r>
    </w:p>
    <w:p w:rsidR="00815A07" w:rsidRDefault="00815A07" w:rsidP="00503E0F">
      <w:pPr>
        <w:rPr>
          <w:rFonts w:hint="eastAsia"/>
          <w:b/>
          <w:color w:val="000000" w:themeColor="text1"/>
          <w:sz w:val="20"/>
          <w:lang w:val="en-US"/>
        </w:rPr>
      </w:pPr>
    </w:p>
    <w:p w:rsidR="00815A07" w:rsidRPr="00815A07" w:rsidRDefault="00815A07" w:rsidP="00503E0F">
      <w:pPr>
        <w:rPr>
          <w:b/>
          <w:color w:val="000000" w:themeColor="text1"/>
          <w:sz w:val="20"/>
          <w:lang w:val="en-US"/>
        </w:rPr>
      </w:pPr>
      <w:r>
        <w:rPr>
          <w:b/>
          <w:color w:val="000000" w:themeColor="text1"/>
          <w:sz w:val="20"/>
          <w:lang w:val="en-US"/>
        </w:rPr>
        <w:t xml:space="preserve">Proposal 2: The side condition for UE RTD is that the maximum value of BS TAE is half of EVM window length for 40% CP length, i.e. </w:t>
      </w:r>
      <w:r w:rsidRPr="0095557E">
        <w:rPr>
          <w:b/>
          <w:lang w:val="en-US"/>
        </w:rPr>
        <w:t>230 ns, 470 ns and 940 ns for 60 kHz, 30 kHz and 15 kHz SCS.</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0654C2" w:rsidRPr="003905DD" w:rsidRDefault="001A3C2A" w:rsidP="003905DD">
      <w:pPr>
        <w:tabs>
          <w:tab w:val="num" w:pos="720"/>
        </w:tabs>
        <w:rPr>
          <w:lang w:val="en-US"/>
        </w:rPr>
      </w:pPr>
      <w:r w:rsidRPr="00331B5B">
        <w:rPr>
          <w:rFonts w:hint="eastAsia"/>
          <w:lang w:val="en-US"/>
        </w:rPr>
        <w:t>[</w:t>
      </w:r>
      <w:r w:rsidR="00024E82" w:rsidRPr="00331B5B">
        <w:rPr>
          <w:rFonts w:hint="eastAsia"/>
          <w:lang w:val="en-US"/>
        </w:rPr>
        <w:t>1</w:t>
      </w:r>
      <w:r w:rsidRPr="00331B5B">
        <w:rPr>
          <w:rFonts w:hint="eastAsia"/>
          <w:lang w:val="en-US"/>
        </w:rPr>
        <w:t>]</w:t>
      </w:r>
      <w:r w:rsidR="001D260B">
        <w:rPr>
          <w:rFonts w:hint="eastAsia"/>
          <w:lang w:val="en-US"/>
        </w:rPr>
        <w:t xml:space="preserve"> </w:t>
      </w:r>
      <w:hyperlink r:id="rId12" w:history="1">
        <w:r w:rsidR="000654C2" w:rsidRPr="003905DD">
          <w:rPr>
            <w:lang w:val="en-US"/>
          </w:rPr>
          <w:t>R4-2314935</w:t>
        </w:r>
      </w:hyperlink>
      <w:r w:rsidR="003905DD">
        <w:rPr>
          <w:lang w:val="en-US"/>
        </w:rPr>
        <w:t>, “</w:t>
      </w:r>
      <w:r w:rsidR="000654C2" w:rsidRPr="003905DD">
        <w:rPr>
          <w:lang w:val="en-US"/>
        </w:rPr>
        <w:t>WF on RF requirements for NES</w:t>
      </w:r>
      <w:r w:rsidR="003905DD">
        <w:rPr>
          <w:lang w:val="en-US"/>
        </w:rPr>
        <w:t>”, Huawei, RAN4#108</w:t>
      </w:r>
    </w:p>
    <w:sectPr w:rsidR="000654C2" w:rsidRPr="003905DD"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BC3" w:rsidRDefault="00096BC3" w:rsidP="0095591C">
      <w:pPr>
        <w:spacing w:after="60"/>
        <w:ind w:left="210"/>
      </w:pPr>
      <w:r>
        <w:separator/>
      </w:r>
    </w:p>
  </w:endnote>
  <w:endnote w:type="continuationSeparator" w:id="0">
    <w:p w:rsidR="00096BC3" w:rsidRDefault="00096BC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96BC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BC3" w:rsidRDefault="00096BC3" w:rsidP="0095591C">
      <w:pPr>
        <w:spacing w:after="60"/>
        <w:ind w:left="210"/>
      </w:pPr>
      <w:r>
        <w:separator/>
      </w:r>
    </w:p>
  </w:footnote>
  <w:footnote w:type="continuationSeparator" w:id="0">
    <w:p w:rsidR="00096BC3" w:rsidRDefault="00096BC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F346835"/>
    <w:multiLevelType w:val="hybridMultilevel"/>
    <w:tmpl w:val="07826674"/>
    <w:lvl w:ilvl="0" w:tplc="062403C6">
      <w:start w:val="1"/>
      <w:numFmt w:val="bullet"/>
      <w:lvlText w:val="•"/>
      <w:lvlJc w:val="left"/>
      <w:pPr>
        <w:tabs>
          <w:tab w:val="num" w:pos="720"/>
        </w:tabs>
        <w:ind w:left="720" w:hanging="360"/>
      </w:pPr>
      <w:rPr>
        <w:rFonts w:ascii="Arial" w:hAnsi="Arial" w:hint="default"/>
      </w:rPr>
    </w:lvl>
    <w:lvl w:ilvl="1" w:tplc="2EE6B510" w:tentative="1">
      <w:start w:val="1"/>
      <w:numFmt w:val="bullet"/>
      <w:lvlText w:val="•"/>
      <w:lvlJc w:val="left"/>
      <w:pPr>
        <w:tabs>
          <w:tab w:val="num" w:pos="1440"/>
        </w:tabs>
        <w:ind w:left="1440" w:hanging="360"/>
      </w:pPr>
      <w:rPr>
        <w:rFonts w:ascii="Arial" w:hAnsi="Arial" w:hint="default"/>
      </w:rPr>
    </w:lvl>
    <w:lvl w:ilvl="2" w:tplc="A0B49F0A" w:tentative="1">
      <w:start w:val="1"/>
      <w:numFmt w:val="bullet"/>
      <w:lvlText w:val="•"/>
      <w:lvlJc w:val="left"/>
      <w:pPr>
        <w:tabs>
          <w:tab w:val="num" w:pos="2160"/>
        </w:tabs>
        <w:ind w:left="2160" w:hanging="360"/>
      </w:pPr>
      <w:rPr>
        <w:rFonts w:ascii="Arial" w:hAnsi="Arial" w:hint="default"/>
      </w:rPr>
    </w:lvl>
    <w:lvl w:ilvl="3" w:tplc="E8664516" w:tentative="1">
      <w:start w:val="1"/>
      <w:numFmt w:val="bullet"/>
      <w:lvlText w:val="•"/>
      <w:lvlJc w:val="left"/>
      <w:pPr>
        <w:tabs>
          <w:tab w:val="num" w:pos="2880"/>
        </w:tabs>
        <w:ind w:left="2880" w:hanging="360"/>
      </w:pPr>
      <w:rPr>
        <w:rFonts w:ascii="Arial" w:hAnsi="Arial" w:hint="default"/>
      </w:rPr>
    </w:lvl>
    <w:lvl w:ilvl="4" w:tplc="D684147A" w:tentative="1">
      <w:start w:val="1"/>
      <w:numFmt w:val="bullet"/>
      <w:lvlText w:val="•"/>
      <w:lvlJc w:val="left"/>
      <w:pPr>
        <w:tabs>
          <w:tab w:val="num" w:pos="3600"/>
        </w:tabs>
        <w:ind w:left="3600" w:hanging="360"/>
      </w:pPr>
      <w:rPr>
        <w:rFonts w:ascii="Arial" w:hAnsi="Arial" w:hint="default"/>
      </w:rPr>
    </w:lvl>
    <w:lvl w:ilvl="5" w:tplc="FE92D58E" w:tentative="1">
      <w:start w:val="1"/>
      <w:numFmt w:val="bullet"/>
      <w:lvlText w:val="•"/>
      <w:lvlJc w:val="left"/>
      <w:pPr>
        <w:tabs>
          <w:tab w:val="num" w:pos="4320"/>
        </w:tabs>
        <w:ind w:left="4320" w:hanging="360"/>
      </w:pPr>
      <w:rPr>
        <w:rFonts w:ascii="Arial" w:hAnsi="Arial" w:hint="default"/>
      </w:rPr>
    </w:lvl>
    <w:lvl w:ilvl="6" w:tplc="6256EDAE" w:tentative="1">
      <w:start w:val="1"/>
      <w:numFmt w:val="bullet"/>
      <w:lvlText w:val="•"/>
      <w:lvlJc w:val="left"/>
      <w:pPr>
        <w:tabs>
          <w:tab w:val="num" w:pos="5040"/>
        </w:tabs>
        <w:ind w:left="5040" w:hanging="360"/>
      </w:pPr>
      <w:rPr>
        <w:rFonts w:ascii="Arial" w:hAnsi="Arial" w:hint="default"/>
      </w:rPr>
    </w:lvl>
    <w:lvl w:ilvl="7" w:tplc="D980A6E2" w:tentative="1">
      <w:start w:val="1"/>
      <w:numFmt w:val="bullet"/>
      <w:lvlText w:val="•"/>
      <w:lvlJc w:val="left"/>
      <w:pPr>
        <w:tabs>
          <w:tab w:val="num" w:pos="5760"/>
        </w:tabs>
        <w:ind w:left="5760" w:hanging="360"/>
      </w:pPr>
      <w:rPr>
        <w:rFonts w:ascii="Arial" w:hAnsi="Arial" w:hint="default"/>
      </w:rPr>
    </w:lvl>
    <w:lvl w:ilvl="8" w:tplc="D4E26996" w:tentative="1">
      <w:start w:val="1"/>
      <w:numFmt w:val="bullet"/>
      <w:lvlText w:val="•"/>
      <w:lvlJc w:val="left"/>
      <w:pPr>
        <w:tabs>
          <w:tab w:val="num" w:pos="6480"/>
        </w:tabs>
        <w:ind w:left="6480" w:hanging="360"/>
      </w:pPr>
      <w:rPr>
        <w:rFonts w:ascii="Arial" w:hAnsi="Arial"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0"/>
  </w:num>
  <w:num w:numId="5">
    <w:abstractNumId w:val="4"/>
  </w:num>
  <w:num w:numId="6">
    <w:abstractNumId w:val="19"/>
  </w:num>
  <w:num w:numId="7">
    <w:abstractNumId w:val="2"/>
  </w:num>
  <w:num w:numId="8">
    <w:abstractNumId w:val="11"/>
  </w:num>
  <w:num w:numId="9">
    <w:abstractNumId w:val="6"/>
  </w:num>
  <w:num w:numId="10">
    <w:abstractNumId w:val="18"/>
  </w:num>
  <w:num w:numId="11">
    <w:abstractNumId w:val="20"/>
  </w:num>
  <w:num w:numId="12">
    <w:abstractNumId w:val="21"/>
  </w:num>
  <w:num w:numId="13">
    <w:abstractNumId w:val="7"/>
  </w:num>
  <w:num w:numId="14">
    <w:abstractNumId w:val="9"/>
  </w:num>
  <w:num w:numId="15">
    <w:abstractNumId w:val="5"/>
  </w:num>
  <w:num w:numId="16">
    <w:abstractNumId w:val="16"/>
  </w:num>
  <w:num w:numId="17">
    <w:abstractNumId w:val="0"/>
  </w:num>
  <w:num w:numId="18">
    <w:abstractNumId w:val="17"/>
  </w:num>
  <w:num w:numId="19">
    <w:abstractNumId w:val="12"/>
  </w:num>
  <w:num w:numId="20">
    <w:abstractNumId w:val="14"/>
  </w:num>
  <w:num w:numId="21">
    <w:abstractNumId w:val="15"/>
  </w:num>
  <w:num w:numId="22">
    <w:abstractNumId w:val="14"/>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5EE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3E9"/>
    <w:rsid w:val="00037A61"/>
    <w:rsid w:val="00037E0E"/>
    <w:rsid w:val="000400BB"/>
    <w:rsid w:val="00040A6C"/>
    <w:rsid w:val="00040FF7"/>
    <w:rsid w:val="0004165F"/>
    <w:rsid w:val="00041A26"/>
    <w:rsid w:val="0004232E"/>
    <w:rsid w:val="00042D84"/>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47F"/>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8B9"/>
    <w:rsid w:val="00062CE1"/>
    <w:rsid w:val="000637C7"/>
    <w:rsid w:val="000637F6"/>
    <w:rsid w:val="00063B99"/>
    <w:rsid w:val="00063CB7"/>
    <w:rsid w:val="00063CC7"/>
    <w:rsid w:val="00064AAE"/>
    <w:rsid w:val="00064AD2"/>
    <w:rsid w:val="00064BBF"/>
    <w:rsid w:val="000654C2"/>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6BC3"/>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D24"/>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181"/>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B16"/>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C7"/>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534D"/>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60B"/>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D3B"/>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2F5"/>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D5D"/>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37D1B"/>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466"/>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1EB"/>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1C9"/>
    <w:rsid w:val="0029431D"/>
    <w:rsid w:val="00294774"/>
    <w:rsid w:val="002947F5"/>
    <w:rsid w:val="00295428"/>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C2"/>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6741"/>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988"/>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40"/>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5D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192"/>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6D9"/>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462"/>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4A86"/>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41D"/>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CCF"/>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3A20"/>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3E0F"/>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2D1"/>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1BB"/>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24E"/>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477EC"/>
    <w:rsid w:val="0075068B"/>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0C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496"/>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BC8"/>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145"/>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A07"/>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B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5B1"/>
    <w:rsid w:val="008D06BA"/>
    <w:rsid w:val="008D0D55"/>
    <w:rsid w:val="008D0E61"/>
    <w:rsid w:val="008D1239"/>
    <w:rsid w:val="008D134D"/>
    <w:rsid w:val="008D1DC9"/>
    <w:rsid w:val="008D1FE3"/>
    <w:rsid w:val="008D2CD1"/>
    <w:rsid w:val="008D31A5"/>
    <w:rsid w:val="008D3431"/>
    <w:rsid w:val="008D4962"/>
    <w:rsid w:val="008D4A03"/>
    <w:rsid w:val="008D4B10"/>
    <w:rsid w:val="008D4DD2"/>
    <w:rsid w:val="008D511E"/>
    <w:rsid w:val="008D5287"/>
    <w:rsid w:val="008D558A"/>
    <w:rsid w:val="008D5E00"/>
    <w:rsid w:val="008D6195"/>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5"/>
    <w:rsid w:val="00940647"/>
    <w:rsid w:val="00940DA0"/>
    <w:rsid w:val="009412BF"/>
    <w:rsid w:val="0094149A"/>
    <w:rsid w:val="009417ED"/>
    <w:rsid w:val="00941BDB"/>
    <w:rsid w:val="009421CD"/>
    <w:rsid w:val="00942C23"/>
    <w:rsid w:val="00942CB0"/>
    <w:rsid w:val="0094317D"/>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57E"/>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FBE"/>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2E0"/>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BB4"/>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5FE"/>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C4C"/>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14F"/>
    <w:rsid w:val="00B27322"/>
    <w:rsid w:val="00B27DB3"/>
    <w:rsid w:val="00B301C4"/>
    <w:rsid w:val="00B31198"/>
    <w:rsid w:val="00B31288"/>
    <w:rsid w:val="00B315DE"/>
    <w:rsid w:val="00B31C83"/>
    <w:rsid w:val="00B31FE6"/>
    <w:rsid w:val="00B32002"/>
    <w:rsid w:val="00B323E5"/>
    <w:rsid w:val="00B32716"/>
    <w:rsid w:val="00B329F2"/>
    <w:rsid w:val="00B32D47"/>
    <w:rsid w:val="00B32EF6"/>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B66"/>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ABC"/>
    <w:rsid w:val="00BB7BEA"/>
    <w:rsid w:val="00BB7DEF"/>
    <w:rsid w:val="00BB7E8A"/>
    <w:rsid w:val="00BC0754"/>
    <w:rsid w:val="00BC0B40"/>
    <w:rsid w:val="00BC0F55"/>
    <w:rsid w:val="00BC1B98"/>
    <w:rsid w:val="00BC1C50"/>
    <w:rsid w:val="00BC1C6E"/>
    <w:rsid w:val="00BC2F66"/>
    <w:rsid w:val="00BC313D"/>
    <w:rsid w:val="00BC3349"/>
    <w:rsid w:val="00BC33E8"/>
    <w:rsid w:val="00BC3600"/>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2AC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6CFB"/>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5F4"/>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06E8"/>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3D5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049D"/>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2C3"/>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2C47"/>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7A1"/>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7B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102"/>
    <w:rsid w:val="00EE6A67"/>
    <w:rsid w:val="00EE6C49"/>
    <w:rsid w:val="00EE76F7"/>
    <w:rsid w:val="00EE7AC8"/>
    <w:rsid w:val="00EE7CD1"/>
    <w:rsid w:val="00EF082E"/>
    <w:rsid w:val="00EF0BF6"/>
    <w:rsid w:val="00EF0C0D"/>
    <w:rsid w:val="00EF1157"/>
    <w:rsid w:val="00EF11F9"/>
    <w:rsid w:val="00EF1E36"/>
    <w:rsid w:val="00EF21A6"/>
    <w:rsid w:val="00EF2DCF"/>
    <w:rsid w:val="00EF2F7D"/>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4FA0"/>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C7C"/>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D90"/>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50E"/>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ACC"/>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31268865">
      <w:bodyDiv w:val="1"/>
      <w:marLeft w:val="0"/>
      <w:marRight w:val="0"/>
      <w:marTop w:val="0"/>
      <w:marBottom w:val="0"/>
      <w:divBdr>
        <w:top w:val="none" w:sz="0" w:space="0" w:color="auto"/>
        <w:left w:val="none" w:sz="0" w:space="0" w:color="auto"/>
        <w:bottom w:val="none" w:sz="0" w:space="0" w:color="auto"/>
        <w:right w:val="none" w:sz="0" w:space="0" w:color="auto"/>
      </w:divBdr>
      <w:divsChild>
        <w:div w:id="45762939">
          <w:marLeft w:val="547"/>
          <w:marRight w:val="0"/>
          <w:marTop w:val="154"/>
          <w:marBottom w:val="0"/>
          <w:divBdr>
            <w:top w:val="none" w:sz="0" w:space="0" w:color="auto"/>
            <w:left w:val="none" w:sz="0" w:space="0" w:color="auto"/>
            <w:bottom w:val="none" w:sz="0" w:space="0" w:color="auto"/>
            <w:right w:val="none" w:sz="0" w:space="0" w:color="auto"/>
          </w:divBdr>
        </w:div>
      </w:divsChild>
    </w:div>
    <w:div w:id="38170443">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809054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6674313">
      <w:bodyDiv w:val="1"/>
      <w:marLeft w:val="0"/>
      <w:marRight w:val="0"/>
      <w:marTop w:val="0"/>
      <w:marBottom w:val="0"/>
      <w:divBdr>
        <w:top w:val="none" w:sz="0" w:space="0" w:color="auto"/>
        <w:left w:val="none" w:sz="0" w:space="0" w:color="auto"/>
        <w:bottom w:val="none" w:sz="0" w:space="0" w:color="auto"/>
        <w:right w:val="none" w:sz="0" w:space="0" w:color="auto"/>
      </w:divBdr>
    </w:div>
    <w:div w:id="241720325">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52133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1806451">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4318011">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5173658">
      <w:bodyDiv w:val="1"/>
      <w:marLeft w:val="0"/>
      <w:marRight w:val="0"/>
      <w:marTop w:val="0"/>
      <w:marBottom w:val="0"/>
      <w:divBdr>
        <w:top w:val="none" w:sz="0" w:space="0" w:color="auto"/>
        <w:left w:val="none" w:sz="0" w:space="0" w:color="auto"/>
        <w:bottom w:val="none" w:sz="0" w:space="0" w:color="auto"/>
        <w:right w:val="none" w:sz="0" w:space="0" w:color="auto"/>
      </w:divBdr>
      <w:divsChild>
        <w:div w:id="627123607">
          <w:marLeft w:val="547"/>
          <w:marRight w:val="0"/>
          <w:marTop w:val="154"/>
          <w:marBottom w:val="0"/>
          <w:divBdr>
            <w:top w:val="none" w:sz="0" w:space="0" w:color="auto"/>
            <w:left w:val="none" w:sz="0" w:space="0" w:color="auto"/>
            <w:bottom w:val="none" w:sz="0" w:space="0" w:color="auto"/>
            <w:right w:val="none" w:sz="0" w:space="0" w:color="auto"/>
          </w:divBdr>
        </w:div>
      </w:divsChild>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5000651">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50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603952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74474100">
      <w:bodyDiv w:val="1"/>
      <w:marLeft w:val="0"/>
      <w:marRight w:val="0"/>
      <w:marTop w:val="0"/>
      <w:marBottom w:val="0"/>
      <w:divBdr>
        <w:top w:val="none" w:sz="0" w:space="0" w:color="auto"/>
        <w:left w:val="none" w:sz="0" w:space="0" w:color="auto"/>
        <w:bottom w:val="none" w:sz="0" w:space="0" w:color="auto"/>
        <w:right w:val="none" w:sz="0" w:space="0" w:color="auto"/>
      </w:divBdr>
      <w:divsChild>
        <w:div w:id="905578158">
          <w:marLeft w:val="547"/>
          <w:marRight w:val="0"/>
          <w:marTop w:val="154"/>
          <w:marBottom w:val="0"/>
          <w:divBdr>
            <w:top w:val="none" w:sz="0" w:space="0" w:color="auto"/>
            <w:left w:val="none" w:sz="0" w:space="0" w:color="auto"/>
            <w:bottom w:val="none" w:sz="0" w:space="0" w:color="auto"/>
            <w:right w:val="none" w:sz="0" w:space="0" w:color="auto"/>
          </w:divBdr>
        </w:div>
      </w:divsChild>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3784370">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68004684">
      <w:bodyDiv w:val="1"/>
      <w:marLeft w:val="0"/>
      <w:marRight w:val="0"/>
      <w:marTop w:val="0"/>
      <w:marBottom w:val="0"/>
      <w:divBdr>
        <w:top w:val="none" w:sz="0" w:space="0" w:color="auto"/>
        <w:left w:val="none" w:sz="0" w:space="0" w:color="auto"/>
        <w:bottom w:val="none" w:sz="0" w:space="0" w:color="auto"/>
        <w:right w:val="none" w:sz="0" w:space="0" w:color="auto"/>
      </w:divBdr>
    </w:div>
    <w:div w:id="1275597772">
      <w:bodyDiv w:val="1"/>
      <w:marLeft w:val="0"/>
      <w:marRight w:val="0"/>
      <w:marTop w:val="0"/>
      <w:marBottom w:val="0"/>
      <w:divBdr>
        <w:top w:val="none" w:sz="0" w:space="0" w:color="auto"/>
        <w:left w:val="none" w:sz="0" w:space="0" w:color="auto"/>
        <w:bottom w:val="none" w:sz="0" w:space="0" w:color="auto"/>
        <w:right w:val="none" w:sz="0" w:space="0" w:color="auto"/>
      </w:divBdr>
      <w:divsChild>
        <w:div w:id="708648427">
          <w:marLeft w:val="547"/>
          <w:marRight w:val="0"/>
          <w:marTop w:val="154"/>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16835831">
      <w:bodyDiv w:val="1"/>
      <w:marLeft w:val="0"/>
      <w:marRight w:val="0"/>
      <w:marTop w:val="0"/>
      <w:marBottom w:val="0"/>
      <w:divBdr>
        <w:top w:val="none" w:sz="0" w:space="0" w:color="auto"/>
        <w:left w:val="none" w:sz="0" w:space="0" w:color="auto"/>
        <w:bottom w:val="none" w:sz="0" w:space="0" w:color="auto"/>
        <w:right w:val="none" w:sz="0" w:space="0" w:color="auto"/>
      </w:divBdr>
      <w:divsChild>
        <w:div w:id="222302565">
          <w:marLeft w:val="547"/>
          <w:marRight w:val="0"/>
          <w:marTop w:val="154"/>
          <w:marBottom w:val="0"/>
          <w:divBdr>
            <w:top w:val="none" w:sz="0" w:space="0" w:color="auto"/>
            <w:left w:val="none" w:sz="0" w:space="0" w:color="auto"/>
            <w:bottom w:val="none" w:sz="0" w:space="0" w:color="auto"/>
            <w:right w:val="none" w:sz="0" w:space="0" w:color="auto"/>
          </w:divBdr>
        </w:div>
      </w:divsChild>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8884774">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21850098">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451085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0104291">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RAN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321D8-F62B-4585-9457-2778BC7E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RAN5 Discussion paper </vt:lpstr>
      <vt:lpstr>Background</vt:lpstr>
      <vt:lpstr>Discussion</vt:lpstr>
      <vt:lpstr>Summary</vt:lpstr>
      <vt:lpstr>Reference</vt:lpstr>
    </vt:vector>
  </TitlesOfParts>
  <Company>CATT</Company>
  <LinksUpToDate>false</LinksUpToDate>
  <CharactersWithSpaces>6313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3</cp:revision>
  <cp:lastPrinted>2007-04-24T00:59:00Z</cp:lastPrinted>
  <dcterms:created xsi:type="dcterms:W3CDTF">2023-09-27T07:44:00Z</dcterms:created>
  <dcterms:modified xsi:type="dcterms:W3CDTF">2023-09-27T07:53:00Z</dcterms:modified>
</cp:coreProperties>
</file>